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54" w:rsidRPr="00D63124" w:rsidRDefault="00D57054" w:rsidP="00D631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14744"/>
          <w:sz w:val="28"/>
          <w:szCs w:val="28"/>
          <w:lang w:eastAsia="ru-RU"/>
        </w:rPr>
      </w:pPr>
      <w:r w:rsidRPr="00D63124">
        <w:rPr>
          <w:rFonts w:ascii="Times New Roman" w:eastAsia="Times New Roman" w:hAnsi="Times New Roman" w:cs="Times New Roman"/>
          <w:b/>
          <w:bCs/>
          <w:color w:val="414744"/>
          <w:sz w:val="28"/>
          <w:szCs w:val="28"/>
          <w:lang w:eastAsia="ru-RU"/>
        </w:rPr>
        <w:t>Программа льготного кредитования субъектов малого и среднего предпринимательства в 2019 – 2024 годах</w:t>
      </w:r>
    </w:p>
    <w:p w:rsidR="00D57054" w:rsidRPr="00D63124" w:rsidRDefault="00D57054" w:rsidP="00D63124">
      <w:pPr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Кредиты по ставке до 8,5% выдаются в уполномоченных Банках на реализацию проектов МСП в приоритетных отраслях, в т.ч. в сельском хозяйстве, обрабатывающих производствах, строительстве, транспорте и связи, утилизации отходов и т.д.</w:t>
      </w:r>
    </w:p>
    <w:p w:rsidR="00D57054" w:rsidRPr="00D63124" w:rsidRDefault="00D57054" w:rsidP="00D63124">
      <w:pPr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параметры Программы льготного кредитования МСП:</w:t>
      </w:r>
    </w:p>
    <w:p w:rsidR="00D57054" w:rsidRPr="00D63124" w:rsidRDefault="00D57054" w:rsidP="00D63124">
      <w:pPr>
        <w:numPr>
          <w:ilvl w:val="0"/>
          <w:numId w:val="1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Процентная ставка по кредиту для заемщика: до 8,5 % </w:t>
      </w:r>
      <w:proofErr w:type="gram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годовых</w:t>
      </w:r>
      <w:proofErr w:type="gram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7054" w:rsidRPr="00D63124" w:rsidRDefault="00D57054" w:rsidP="00D63124">
      <w:pPr>
        <w:numPr>
          <w:ilvl w:val="0"/>
          <w:numId w:val="1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льготных кредитов: инвестиционные и пополнение оборотных средств.</w:t>
      </w:r>
    </w:p>
    <w:p w:rsidR="00D57054" w:rsidRPr="00D63124" w:rsidRDefault="00D57054" w:rsidP="00D63124">
      <w:pPr>
        <w:numPr>
          <w:ilvl w:val="0"/>
          <w:numId w:val="1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кредита на инвестиционные цели: от 500 тыс. до 1 млрд. рублей.</w:t>
      </w:r>
    </w:p>
    <w:p w:rsidR="00D57054" w:rsidRPr="00D63124" w:rsidRDefault="00D57054" w:rsidP="00D63124">
      <w:pPr>
        <w:numPr>
          <w:ilvl w:val="0"/>
          <w:numId w:val="1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кредита на пополнение оборотных средств: от 500 тыс. рублей до 500 млн. рублей.</w:t>
      </w:r>
    </w:p>
    <w:p w:rsidR="00D57054" w:rsidRPr="00D63124" w:rsidRDefault="00D57054" w:rsidP="00D63124">
      <w:pPr>
        <w:numPr>
          <w:ilvl w:val="0"/>
          <w:numId w:val="1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кредитного договора на инвестиционные цели: до 10 лет.</w:t>
      </w:r>
    </w:p>
    <w:p w:rsidR="00D57054" w:rsidRPr="00D63124" w:rsidRDefault="00D57054" w:rsidP="00D63124">
      <w:pPr>
        <w:numPr>
          <w:ilvl w:val="0"/>
          <w:numId w:val="1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кредитного договора на пополнение оборотных средств: до 3 лет.</w:t>
      </w:r>
    </w:p>
    <w:p w:rsidR="00D57054" w:rsidRPr="00D63124" w:rsidRDefault="00D57054" w:rsidP="00D63124">
      <w:pPr>
        <w:numPr>
          <w:ilvl w:val="0"/>
          <w:numId w:val="1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предоставления субсидии банкам: ежемесячно.</w:t>
      </w:r>
    </w:p>
    <w:p w:rsidR="00D57054" w:rsidRPr="00D63124" w:rsidRDefault="00D57054" w:rsidP="00D63124">
      <w:pPr>
        <w:numPr>
          <w:ilvl w:val="0"/>
          <w:numId w:val="1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субсидируемой процентной ставки для банков: 2,5 % - 3,5 %. По кредитным договорам, заключенным с субъектами МСП - участникам региональной программы повышения производительности труда размер субсидируемой процентной ставки - 3,5 %.</w:t>
      </w:r>
    </w:p>
    <w:p w:rsidR="00D57054" w:rsidRPr="00D57054" w:rsidRDefault="00D57054" w:rsidP="00D57054">
      <w:pPr>
        <w:spacing w:after="0" w:line="240" w:lineRule="auto"/>
        <w:jc w:val="center"/>
        <w:rPr>
          <w:rFonts w:ascii="AkzidenzGroteskPro" w:eastAsia="Times New Roman" w:hAnsi="AkzidenzGroteskPro" w:cs="Times New Roman"/>
          <w:color w:val="000000"/>
          <w:sz w:val="20"/>
          <w:szCs w:val="20"/>
          <w:lang w:eastAsia="ru-RU"/>
        </w:rPr>
      </w:pPr>
      <w:r>
        <w:rPr>
          <w:rFonts w:ascii="AkzidenzGroteskPro" w:eastAsia="Times New Roman" w:hAnsi="AkzidenzGroteskPr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90270" cy="890270"/>
            <wp:effectExtent l="19050" t="0" r="5080" b="0"/>
            <wp:docPr id="1" name="Рисунок 1" descr="https://gisp.gov.ru/upload/iblock/db1/min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sp.gov.ru/upload/iblock/db1/mine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54" w:rsidRPr="00D57054" w:rsidRDefault="00D57054" w:rsidP="00D63124">
      <w:pPr>
        <w:spacing w:line="240" w:lineRule="auto"/>
        <w:jc w:val="center"/>
        <w:rPr>
          <w:rFonts w:ascii="AkzidenzGroteskPro" w:eastAsia="Times New Roman" w:hAnsi="AkzidenzGroteskPro" w:cs="Times New Roman"/>
          <w:color w:val="000000"/>
          <w:sz w:val="20"/>
          <w:szCs w:val="20"/>
          <w:lang w:eastAsia="ru-RU"/>
        </w:rPr>
      </w:pPr>
      <w:r w:rsidRPr="00D57054">
        <w:rPr>
          <w:rFonts w:ascii="AkzidenzGroteskPro" w:eastAsia="Times New Roman" w:hAnsi="AkzidenzGroteskPro" w:cs="Times New Roman"/>
          <w:b/>
          <w:bCs/>
          <w:color w:val="414744"/>
          <w:sz w:val="30"/>
          <w:szCs w:val="30"/>
          <w:bdr w:val="none" w:sz="0" w:space="0" w:color="auto" w:frame="1"/>
          <w:lang w:eastAsia="ru-RU"/>
        </w:rPr>
        <w:t>Общая информация</w:t>
      </w:r>
    </w:p>
    <w:p w:rsidR="00D57054" w:rsidRPr="00D63124" w:rsidRDefault="00D57054" w:rsidP="00D63124">
      <w:pPr>
        <w:spacing w:after="0" w:line="301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414744"/>
          <w:sz w:val="28"/>
          <w:szCs w:val="28"/>
          <w:lang w:eastAsia="ru-RU"/>
        </w:rPr>
      </w:pPr>
      <w:r w:rsidRPr="00D63124">
        <w:rPr>
          <w:rFonts w:ascii="Times New Roman" w:eastAsia="Times New Roman" w:hAnsi="Times New Roman" w:cs="Times New Roman"/>
          <w:b/>
          <w:bCs/>
          <w:color w:val="414744"/>
          <w:sz w:val="28"/>
          <w:szCs w:val="28"/>
          <w:lang w:eastAsia="ru-RU"/>
        </w:rPr>
        <w:t xml:space="preserve">Полное наименование НПА (ЛНА) </w:t>
      </w:r>
      <w:proofErr w:type="gramStart"/>
      <w:r w:rsidRPr="00D63124">
        <w:rPr>
          <w:rFonts w:ascii="Times New Roman" w:eastAsia="Times New Roman" w:hAnsi="Times New Roman" w:cs="Times New Roman"/>
          <w:b/>
          <w:bCs/>
          <w:color w:val="414744"/>
          <w:sz w:val="28"/>
          <w:szCs w:val="28"/>
          <w:lang w:eastAsia="ru-RU"/>
        </w:rPr>
        <w:t>регулирующего</w:t>
      </w:r>
      <w:proofErr w:type="gramEnd"/>
      <w:r w:rsidRPr="00D63124">
        <w:rPr>
          <w:rFonts w:ascii="Times New Roman" w:eastAsia="Times New Roman" w:hAnsi="Times New Roman" w:cs="Times New Roman"/>
          <w:b/>
          <w:bCs/>
          <w:color w:val="414744"/>
          <w:sz w:val="28"/>
          <w:szCs w:val="28"/>
          <w:lang w:eastAsia="ru-RU"/>
        </w:rPr>
        <w:t xml:space="preserve"> предоставление меры поддержки с указанием реквизитов</w:t>
      </w:r>
    </w:p>
    <w:p w:rsidR="00D57054" w:rsidRPr="00D63124" w:rsidRDefault="00D57054" w:rsidP="00D63124">
      <w:pPr>
        <w:spacing w:after="125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 Правительства РФ от 30.12.2018 № 1764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ставке"</w:t>
      </w:r>
    </w:p>
    <w:p w:rsidR="00D57054" w:rsidRPr="00D63124" w:rsidRDefault="00D57054" w:rsidP="00D63124">
      <w:pPr>
        <w:spacing w:after="0" w:line="301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14744"/>
          <w:sz w:val="28"/>
          <w:szCs w:val="28"/>
          <w:lang w:eastAsia="ru-RU"/>
        </w:rPr>
      </w:pPr>
      <w:r w:rsidRPr="00D63124">
        <w:rPr>
          <w:rFonts w:ascii="Times New Roman" w:eastAsia="Times New Roman" w:hAnsi="Times New Roman" w:cs="Times New Roman"/>
          <w:b/>
          <w:bCs/>
          <w:color w:val="414744"/>
          <w:sz w:val="28"/>
          <w:szCs w:val="28"/>
          <w:lang w:eastAsia="ru-RU"/>
        </w:rPr>
        <w:t>Тип меры поддержки</w:t>
      </w:r>
    </w:p>
    <w:p w:rsidR="00D57054" w:rsidRPr="00D63124" w:rsidRDefault="00D57054" w:rsidP="00D63124">
      <w:pPr>
        <w:spacing w:after="125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поддержка</w:t>
      </w:r>
    </w:p>
    <w:p w:rsidR="00D57054" w:rsidRPr="00D63124" w:rsidRDefault="00D57054" w:rsidP="00D63124">
      <w:pPr>
        <w:spacing w:after="0" w:line="301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14744"/>
          <w:sz w:val="28"/>
          <w:szCs w:val="28"/>
          <w:lang w:eastAsia="ru-RU"/>
        </w:rPr>
      </w:pPr>
      <w:r w:rsidRPr="00D63124">
        <w:rPr>
          <w:rFonts w:ascii="Times New Roman" w:eastAsia="Times New Roman" w:hAnsi="Times New Roman" w:cs="Times New Roman"/>
          <w:b/>
          <w:bCs/>
          <w:color w:val="414744"/>
          <w:sz w:val="28"/>
          <w:szCs w:val="28"/>
          <w:lang w:eastAsia="ru-RU"/>
        </w:rPr>
        <w:t>Регулярность оказания меры поддержки</w:t>
      </w:r>
    </w:p>
    <w:p w:rsidR="00D57054" w:rsidRPr="00D63124" w:rsidRDefault="00D57054" w:rsidP="00D63124">
      <w:pPr>
        <w:spacing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регулярной основе</w:t>
      </w:r>
    </w:p>
    <w:p w:rsidR="00D57054" w:rsidRPr="00D57054" w:rsidRDefault="00D57054" w:rsidP="00D63124">
      <w:pPr>
        <w:spacing w:line="240" w:lineRule="auto"/>
        <w:jc w:val="center"/>
        <w:rPr>
          <w:rFonts w:ascii="AkzidenzGroteskPro" w:eastAsia="Times New Roman" w:hAnsi="AkzidenzGroteskPro" w:cs="Times New Roman"/>
          <w:color w:val="000000"/>
          <w:sz w:val="20"/>
          <w:szCs w:val="20"/>
          <w:lang w:eastAsia="ru-RU"/>
        </w:rPr>
      </w:pPr>
      <w:r w:rsidRPr="00D57054">
        <w:rPr>
          <w:rFonts w:ascii="AkzidenzGroteskPro" w:eastAsia="Times New Roman" w:hAnsi="AkzidenzGroteskPro" w:cs="Times New Roman"/>
          <w:b/>
          <w:bCs/>
          <w:color w:val="414744"/>
          <w:sz w:val="30"/>
          <w:szCs w:val="30"/>
          <w:bdr w:val="none" w:sz="0" w:space="0" w:color="auto" w:frame="1"/>
          <w:lang w:eastAsia="ru-RU"/>
        </w:rPr>
        <w:t>Типы проблем, на решение которых направлена мера</w:t>
      </w:r>
    </w:p>
    <w:p w:rsidR="00D57054" w:rsidRPr="00D63124" w:rsidRDefault="00D57054" w:rsidP="00D63124">
      <w:pPr>
        <w:numPr>
          <w:ilvl w:val="0"/>
          <w:numId w:val="2"/>
        </w:numPr>
        <w:spacing w:after="0" w:line="240" w:lineRule="auto"/>
        <w:ind w:left="0" w:firstLine="595"/>
        <w:jc w:val="both"/>
        <w:textAlignment w:val="center"/>
        <w:rPr>
          <w:rFonts w:ascii="Times New Roman" w:eastAsia="Times New Roman" w:hAnsi="Times New Roman" w:cs="Times New Roman"/>
          <w:color w:val="414744"/>
          <w:sz w:val="28"/>
          <w:szCs w:val="28"/>
          <w:lang w:eastAsia="ru-RU"/>
        </w:rPr>
      </w:pPr>
      <w:r w:rsidRPr="00D63124">
        <w:rPr>
          <w:rFonts w:ascii="Times New Roman" w:eastAsia="Times New Roman" w:hAnsi="Times New Roman" w:cs="Times New Roman"/>
          <w:color w:val="414744"/>
          <w:sz w:val="28"/>
          <w:szCs w:val="28"/>
          <w:lang w:eastAsia="ru-RU"/>
        </w:rPr>
        <w:t>Недостаток доступного инвестиционного кредитования</w:t>
      </w:r>
    </w:p>
    <w:p w:rsidR="00D57054" w:rsidRPr="00D63124" w:rsidRDefault="00D57054" w:rsidP="00D63124">
      <w:pPr>
        <w:numPr>
          <w:ilvl w:val="0"/>
          <w:numId w:val="2"/>
        </w:numPr>
        <w:spacing w:after="0" w:line="240" w:lineRule="auto"/>
        <w:ind w:left="0" w:firstLine="595"/>
        <w:jc w:val="both"/>
        <w:textAlignment w:val="center"/>
        <w:rPr>
          <w:rFonts w:ascii="Times New Roman" w:eastAsia="Times New Roman" w:hAnsi="Times New Roman" w:cs="Times New Roman"/>
          <w:color w:val="414744"/>
          <w:sz w:val="28"/>
          <w:szCs w:val="28"/>
          <w:lang w:eastAsia="ru-RU"/>
        </w:rPr>
      </w:pPr>
      <w:r w:rsidRPr="00D63124">
        <w:rPr>
          <w:rFonts w:ascii="Times New Roman" w:eastAsia="Times New Roman" w:hAnsi="Times New Roman" w:cs="Times New Roman"/>
          <w:color w:val="414744"/>
          <w:sz w:val="28"/>
          <w:szCs w:val="28"/>
          <w:lang w:eastAsia="ru-RU"/>
        </w:rPr>
        <w:t>Нехватка оборотных средств</w:t>
      </w:r>
    </w:p>
    <w:p w:rsidR="00D57054" w:rsidRPr="00D63124" w:rsidRDefault="00D57054" w:rsidP="00D63124">
      <w:pPr>
        <w:numPr>
          <w:ilvl w:val="0"/>
          <w:numId w:val="2"/>
        </w:numPr>
        <w:spacing w:after="0" w:line="240" w:lineRule="auto"/>
        <w:ind w:left="0" w:firstLine="595"/>
        <w:jc w:val="both"/>
        <w:textAlignment w:val="center"/>
        <w:rPr>
          <w:rFonts w:ascii="Times New Roman" w:eastAsia="Times New Roman" w:hAnsi="Times New Roman" w:cs="Times New Roman"/>
          <w:color w:val="414744"/>
          <w:sz w:val="28"/>
          <w:szCs w:val="28"/>
          <w:lang w:eastAsia="ru-RU"/>
        </w:rPr>
      </w:pPr>
      <w:r w:rsidRPr="00D63124">
        <w:rPr>
          <w:rFonts w:ascii="Times New Roman" w:eastAsia="Times New Roman" w:hAnsi="Times New Roman" w:cs="Times New Roman"/>
          <w:color w:val="414744"/>
          <w:sz w:val="28"/>
          <w:szCs w:val="28"/>
          <w:lang w:eastAsia="ru-RU"/>
        </w:rPr>
        <w:t>Высокие затраты на создание новых производств и их развитие</w:t>
      </w:r>
    </w:p>
    <w:p w:rsidR="00D57054" w:rsidRPr="00D63124" w:rsidRDefault="00D57054" w:rsidP="00D63124">
      <w:pPr>
        <w:numPr>
          <w:ilvl w:val="0"/>
          <w:numId w:val="2"/>
        </w:numPr>
        <w:spacing w:after="0" w:line="240" w:lineRule="auto"/>
        <w:ind w:left="0" w:firstLine="595"/>
        <w:jc w:val="both"/>
        <w:textAlignment w:val="center"/>
        <w:rPr>
          <w:rFonts w:ascii="Times New Roman" w:eastAsia="Times New Roman" w:hAnsi="Times New Roman" w:cs="Times New Roman"/>
          <w:color w:val="414744"/>
          <w:sz w:val="28"/>
          <w:szCs w:val="28"/>
          <w:lang w:eastAsia="ru-RU"/>
        </w:rPr>
      </w:pPr>
      <w:r w:rsidRPr="00D63124">
        <w:rPr>
          <w:rFonts w:ascii="Times New Roman" w:eastAsia="Times New Roman" w:hAnsi="Times New Roman" w:cs="Times New Roman"/>
          <w:color w:val="414744"/>
          <w:sz w:val="28"/>
          <w:szCs w:val="28"/>
          <w:lang w:eastAsia="ru-RU"/>
        </w:rPr>
        <w:lastRenderedPageBreak/>
        <w:t>Необходимость модернизации производства для выпуска конкурентоспособной продукции</w:t>
      </w:r>
    </w:p>
    <w:p w:rsidR="00D57054" w:rsidRPr="00D57054" w:rsidRDefault="00D57054" w:rsidP="00D63124">
      <w:pPr>
        <w:spacing w:line="240" w:lineRule="auto"/>
        <w:jc w:val="center"/>
        <w:rPr>
          <w:rFonts w:ascii="AkzidenzGroteskPro" w:eastAsia="Times New Roman" w:hAnsi="AkzidenzGroteskPro" w:cs="Times New Roman"/>
          <w:color w:val="000000"/>
          <w:sz w:val="20"/>
          <w:szCs w:val="20"/>
          <w:lang w:eastAsia="ru-RU"/>
        </w:rPr>
      </w:pPr>
      <w:r w:rsidRPr="00D57054">
        <w:rPr>
          <w:rFonts w:ascii="AkzidenzGroteskPro" w:eastAsia="Times New Roman" w:hAnsi="AkzidenzGroteskPro" w:cs="Times New Roman"/>
          <w:b/>
          <w:bCs/>
          <w:color w:val="414744"/>
          <w:sz w:val="30"/>
          <w:szCs w:val="30"/>
          <w:bdr w:val="none" w:sz="0" w:space="0" w:color="auto" w:frame="1"/>
          <w:lang w:eastAsia="ru-RU"/>
        </w:rPr>
        <w:t>Требования к проекту</w:t>
      </w:r>
    </w:p>
    <w:p w:rsidR="00D57054" w:rsidRPr="00D63124" w:rsidRDefault="00D57054" w:rsidP="00D63124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414744"/>
          <w:sz w:val="28"/>
          <w:szCs w:val="28"/>
          <w:lang w:eastAsia="ru-RU"/>
        </w:rPr>
      </w:pPr>
      <w:r w:rsidRPr="00D63124">
        <w:rPr>
          <w:rFonts w:ascii="Times New Roman" w:eastAsia="Times New Roman" w:hAnsi="Times New Roman" w:cs="Times New Roman"/>
          <w:b/>
          <w:bCs/>
          <w:color w:val="414744"/>
          <w:sz w:val="28"/>
          <w:szCs w:val="28"/>
          <w:lang w:eastAsia="ru-RU"/>
        </w:rPr>
        <w:t>Требования к проекту</w:t>
      </w:r>
    </w:p>
    <w:p w:rsidR="00D57054" w:rsidRPr="00D63124" w:rsidRDefault="00D57054" w:rsidP="00D63124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414744"/>
          <w:sz w:val="28"/>
          <w:szCs w:val="28"/>
          <w:bdr w:val="none" w:sz="0" w:space="0" w:color="auto" w:frame="1"/>
          <w:lang w:eastAsia="ru-RU"/>
        </w:rPr>
      </w:pPr>
      <w:r w:rsidRPr="00D63124">
        <w:rPr>
          <w:rFonts w:ascii="Times New Roman" w:eastAsia="Times New Roman" w:hAnsi="Times New Roman" w:cs="Times New Roman"/>
          <w:color w:val="414744"/>
          <w:sz w:val="28"/>
          <w:szCs w:val="28"/>
          <w:bdr w:val="none" w:sz="0" w:space="0" w:color="auto" w:frame="1"/>
          <w:lang w:eastAsia="ru-RU"/>
        </w:rPr>
        <w:t>Требования к заемщикам:</w:t>
      </w:r>
    </w:p>
    <w:p w:rsidR="00D57054" w:rsidRPr="00D63124" w:rsidRDefault="00D57054" w:rsidP="00D63124">
      <w:pPr>
        <w:numPr>
          <w:ilvl w:val="0"/>
          <w:numId w:val="3"/>
        </w:numPr>
        <w:spacing w:after="0" w:line="240" w:lineRule="auto"/>
        <w:ind w:left="113"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субъект МСП, субъект МСП — участник региональной программы повышения производительности труда;</w:t>
      </w:r>
    </w:p>
    <w:p w:rsidR="00D57054" w:rsidRPr="00D63124" w:rsidRDefault="00D57054" w:rsidP="00D63124">
      <w:pPr>
        <w:numPr>
          <w:ilvl w:val="0"/>
          <w:numId w:val="3"/>
        </w:numPr>
        <w:spacing w:after="0" w:line="240" w:lineRule="auto"/>
        <w:ind w:left="113"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статус налогового резидента РФ;</w:t>
      </w:r>
    </w:p>
    <w:p w:rsidR="00D57054" w:rsidRPr="00D63124" w:rsidRDefault="00D57054" w:rsidP="00D63124">
      <w:pPr>
        <w:numPr>
          <w:ilvl w:val="0"/>
          <w:numId w:val="3"/>
        </w:numPr>
        <w:spacing w:after="0" w:line="240" w:lineRule="auto"/>
        <w:ind w:left="113"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ведение деятельности в одной или нескольких приоритетных отраслях;</w:t>
      </w:r>
    </w:p>
    <w:p w:rsidR="00D57054" w:rsidRPr="00D63124" w:rsidRDefault="00D57054" w:rsidP="00D63124">
      <w:pPr>
        <w:numPr>
          <w:ilvl w:val="0"/>
          <w:numId w:val="3"/>
        </w:numPr>
        <w:spacing w:after="0" w:line="240" w:lineRule="auto"/>
        <w:ind w:left="113"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отсутствие возбужденного производства по делу о банкротстве;</w:t>
      </w:r>
    </w:p>
    <w:p w:rsidR="00D57054" w:rsidRPr="00D63124" w:rsidRDefault="00D57054" w:rsidP="00D63124">
      <w:pPr>
        <w:numPr>
          <w:ilvl w:val="0"/>
          <w:numId w:val="3"/>
        </w:numPr>
        <w:spacing w:after="0" w:line="240" w:lineRule="auto"/>
        <w:ind w:left="113"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отсутствие просроченной задолженности по налогам, сборам и иным обязательным платежам в бюджеты бюджетной системы Российской Федерации, превышающей 50 тыс. рублей;</w:t>
      </w:r>
    </w:p>
    <w:p w:rsidR="00D57054" w:rsidRPr="00D63124" w:rsidRDefault="00D57054" w:rsidP="00D63124">
      <w:pPr>
        <w:numPr>
          <w:ilvl w:val="0"/>
          <w:numId w:val="3"/>
        </w:numPr>
        <w:spacing w:after="0" w:line="240" w:lineRule="auto"/>
        <w:ind w:left="113"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отсутствие задолженности перед работниками по заработной плате;</w:t>
      </w:r>
    </w:p>
    <w:p w:rsidR="00D57054" w:rsidRPr="00D63124" w:rsidRDefault="00D57054" w:rsidP="00D63124">
      <w:pPr>
        <w:numPr>
          <w:ilvl w:val="0"/>
          <w:numId w:val="3"/>
        </w:numPr>
        <w:spacing w:after="0" w:line="240" w:lineRule="auto"/>
        <w:ind w:left="113"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отсутствие просроченных платежей по кредитным договорам и договорам поручительства, а также требований по возмещению заемщиком гаранту выплаченных в соответствии с условиями банковской гарантии денежных сумм.</w:t>
      </w:r>
    </w:p>
    <w:p w:rsidR="00D57054" w:rsidRPr="00D57054" w:rsidRDefault="00D57054" w:rsidP="00D63124">
      <w:pPr>
        <w:spacing w:line="240" w:lineRule="auto"/>
        <w:jc w:val="center"/>
        <w:rPr>
          <w:rFonts w:ascii="AkzidenzGroteskPro" w:eastAsia="Times New Roman" w:hAnsi="AkzidenzGroteskPro" w:cs="Times New Roman"/>
          <w:color w:val="000000"/>
          <w:sz w:val="20"/>
          <w:szCs w:val="20"/>
          <w:lang w:eastAsia="ru-RU"/>
        </w:rPr>
      </w:pPr>
      <w:r w:rsidRPr="00D57054">
        <w:rPr>
          <w:rFonts w:ascii="AkzidenzGroteskPro" w:eastAsia="Times New Roman" w:hAnsi="AkzidenzGroteskPro" w:cs="Times New Roman"/>
          <w:b/>
          <w:bCs/>
          <w:color w:val="414744"/>
          <w:sz w:val="30"/>
          <w:szCs w:val="30"/>
          <w:bdr w:val="none" w:sz="0" w:space="0" w:color="auto" w:frame="1"/>
          <w:lang w:eastAsia="ru-RU"/>
        </w:rPr>
        <w:t>Требования к заявителю</w:t>
      </w:r>
    </w:p>
    <w:p w:rsidR="00D57054" w:rsidRPr="00D63124" w:rsidRDefault="00D57054" w:rsidP="00D63124">
      <w:pPr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Размер предприятия </w:t>
      </w:r>
      <w:proofErr w:type="gramStart"/>
      <w:r w:rsidRPr="00D63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алый (1 - 100 чел.), средний (100 - 250 чел.)</w:t>
      </w:r>
    </w:p>
    <w:p w:rsidR="00D57054" w:rsidRPr="00D57054" w:rsidRDefault="00D57054" w:rsidP="00D63124">
      <w:pPr>
        <w:spacing w:line="240" w:lineRule="auto"/>
        <w:jc w:val="center"/>
        <w:rPr>
          <w:rFonts w:ascii="AkzidenzGroteskPro" w:eastAsia="Times New Roman" w:hAnsi="AkzidenzGroteskPro" w:cs="Times New Roman"/>
          <w:color w:val="000000"/>
          <w:sz w:val="20"/>
          <w:szCs w:val="20"/>
          <w:lang w:eastAsia="ru-RU"/>
        </w:rPr>
      </w:pPr>
      <w:r w:rsidRPr="00D57054">
        <w:rPr>
          <w:rFonts w:ascii="AkzidenzGroteskPro" w:eastAsia="Times New Roman" w:hAnsi="AkzidenzGroteskPro" w:cs="Times New Roman"/>
          <w:b/>
          <w:bCs/>
          <w:color w:val="414744"/>
          <w:sz w:val="30"/>
          <w:szCs w:val="30"/>
          <w:bdr w:val="none" w:sz="0" w:space="0" w:color="auto" w:frame="1"/>
          <w:lang w:eastAsia="ru-RU"/>
        </w:rPr>
        <w:t>Дополнительная информация</w:t>
      </w:r>
    </w:p>
    <w:p w:rsidR="00D57054" w:rsidRPr="00D63124" w:rsidRDefault="00D57054" w:rsidP="00D63124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Предприниматели могут получить льготные кредиты в уполномоченных банках по ставке не более 8,5%. Всего в программе участвуют 70 банков из 29 регионов России. Перечень уполномоченных банков: Банк "Левобережный" (ПАО); ПАО "</w:t>
      </w:r>
      <w:proofErr w:type="spell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Промсвязьбанк</w:t>
      </w:r>
      <w:proofErr w:type="spell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 АО "АЛЬФА-БАНК"; ООО "</w:t>
      </w:r>
      <w:proofErr w:type="spell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Камкомбанк</w:t>
      </w:r>
      <w:proofErr w:type="spell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АО Банк "Национальный стандарт"; АО "БАНК ОРЕНБУРГ"; ПАО СКБ Приморья "</w:t>
      </w:r>
      <w:proofErr w:type="spell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Примсоцбанк</w:t>
      </w:r>
      <w:proofErr w:type="spell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 РОСКОМСНАББАНК (ПАО); "</w:t>
      </w:r>
      <w:proofErr w:type="spell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СДМ-Банк</w:t>
      </w:r>
      <w:proofErr w:type="spell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(ПАО); ПАО </w:t>
      </w:r>
      <w:proofErr w:type="spell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Ставропольпромстройбанк</w:t>
      </w:r>
      <w:proofErr w:type="spell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АО "МСП Банк"; Азиатско-Тихоокеанский Банк (ПАО); ООО "</w:t>
      </w:r>
      <w:proofErr w:type="spell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Примтеркомбанк</w:t>
      </w:r>
      <w:proofErr w:type="spell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"; </w:t>
      </w:r>
      <w:proofErr w:type="spell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Прио-Внешторгбанк</w:t>
      </w:r>
      <w:proofErr w:type="spell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(ПАО); ТКБ БАНК (ПАО); Банк "Возрождение" (ПАО); КБ "</w:t>
      </w:r>
      <w:proofErr w:type="spell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Гарант-Инвест</w:t>
      </w:r>
      <w:proofErr w:type="spell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(АО); ПАО "Дальневосточный банк"; АО </w:t>
      </w:r>
      <w:proofErr w:type="gram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</w:t>
      </w:r>
      <w:proofErr w:type="gram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"ЕВРОАЛЬЯНС"; </w:t>
      </w:r>
      <w:proofErr w:type="gram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КБ "Калуга"; ООО КБ "КОЛЬЦО УРАЛА"; МОРСКОЙ БАНК (АО); ПАО "НИКО-БАНК"; АО "</w:t>
      </w:r>
      <w:proofErr w:type="spell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Райффайзенбанк</w:t>
      </w:r>
      <w:proofErr w:type="spell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РНКБ Банк (ПАО); ПАО РОСБАНК; АО "</w:t>
      </w:r>
      <w:proofErr w:type="spell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Россельхозбанк</w:t>
      </w:r>
      <w:proofErr w:type="spell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 ПАО "САРОВБИЗНЕСБАНК"; ПАО Сбербанк; ПАО БАНК "СИАБ"; "СИБСОЦБАНК" ООО; Банк "</w:t>
      </w:r>
      <w:proofErr w:type="spell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Снежинский</w:t>
      </w:r>
      <w:proofErr w:type="spell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АО; ПАО "</w:t>
      </w:r>
      <w:proofErr w:type="spell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Совкомбанк</w:t>
      </w:r>
      <w:proofErr w:type="spell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 ООО "Банк Стандарт-Кредит"; КБ "СТРОЙЛЕСБАНК" (ООО); "Хакасский муниципальный банк"; ООО банк "Элита"; ОАО "</w:t>
      </w:r>
      <w:proofErr w:type="spell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Юг-Инвестбанк</w:t>
      </w:r>
      <w:proofErr w:type="spell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 Банк ВТБ (ПАО);</w:t>
      </w:r>
      <w:proofErr w:type="gram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"АК БАРС" БАНК; АО "Банк Акцепт"; АО КБ "Ассоциация"; АО "ГЕНБАНК"; ПАО "</w:t>
      </w:r>
      <w:proofErr w:type="spell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Курскпромбанк</w:t>
      </w:r>
      <w:proofErr w:type="spell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 ПАО "МОСКОВСКИЙ КРЕДИТНЫЙ БАНК"; ПАО "</w:t>
      </w:r>
      <w:proofErr w:type="spell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Томскпромстройбанк</w:t>
      </w:r>
      <w:proofErr w:type="spell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 ПАО КБ "</w:t>
      </w:r>
      <w:proofErr w:type="spell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Центр-инвест</w:t>
      </w:r>
      <w:proofErr w:type="spell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 КБ "ЭНЕРГОТРАНСБАНК" (АО); АО "АБ "РОССИЯ"; ООО КБ "Столичный Кредит"; ООО КБЭР "Банк Казани"; АКБ "АКТИВ БАНК" (ПАО); АКБ «</w:t>
      </w:r>
      <w:proofErr w:type="spell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Алмазэргиэнбанк</w:t>
      </w:r>
      <w:proofErr w:type="spell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АО; АО "Банк "Вологжанин"; Банк </w:t>
      </w:r>
      <w:proofErr w:type="spell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Газпромбанк</w:t>
      </w:r>
      <w:proofErr w:type="spell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(АО);</w:t>
      </w:r>
      <w:proofErr w:type="gram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 "Севастопольский Морской банк"; АО БАНК "СНГБ"; АО "ВЛАДБИЗНЕСБАНК"; ООО КБ </w:t>
      </w:r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</w:t>
      </w:r>
      <w:proofErr w:type="spell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Алтайкапиталбанк</w:t>
      </w:r>
      <w:proofErr w:type="spell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"; АО "Банк </w:t>
      </w:r>
      <w:proofErr w:type="spell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Интеза</w:t>
      </w:r>
      <w:proofErr w:type="spell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 Банк ИПБ (АО); КБ "Кубань Кредит" ООО; ПАО Банк "Кузнецкий"; ПАО "</w:t>
      </w:r>
      <w:proofErr w:type="spell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НБД-Банк</w:t>
      </w:r>
      <w:proofErr w:type="spell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ПАО "ЧЕЛЯБИНВЕСТБАНК"; АКБ "</w:t>
      </w:r>
      <w:proofErr w:type="spell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Энергобанк</w:t>
      </w:r>
      <w:proofErr w:type="spell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(ПАО); АО "</w:t>
      </w:r>
      <w:proofErr w:type="spell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Углеметбанк</w:t>
      </w:r>
      <w:proofErr w:type="spell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 АО "</w:t>
      </w:r>
      <w:proofErr w:type="spellStart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Нефтепромбанк</w:t>
      </w:r>
      <w:proofErr w:type="spellEnd"/>
      <w:r w:rsidRPr="00D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 ООО "Банк Саратов"; АО "СМП Банк".</w:t>
      </w:r>
    </w:p>
    <w:p w:rsidR="00DC3924" w:rsidRDefault="00DC3924"/>
    <w:sectPr w:rsidR="00DC3924" w:rsidSect="0028163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zidenzGrotesk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0E11"/>
    <w:multiLevelType w:val="multilevel"/>
    <w:tmpl w:val="118E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23C2C"/>
    <w:multiLevelType w:val="multilevel"/>
    <w:tmpl w:val="4536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77E10"/>
    <w:multiLevelType w:val="multilevel"/>
    <w:tmpl w:val="2222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57054"/>
    <w:rsid w:val="00052742"/>
    <w:rsid w:val="00094AEA"/>
    <w:rsid w:val="00107018"/>
    <w:rsid w:val="00142F24"/>
    <w:rsid w:val="00210BFE"/>
    <w:rsid w:val="0028163D"/>
    <w:rsid w:val="002B3D35"/>
    <w:rsid w:val="003A0A5E"/>
    <w:rsid w:val="003E45AD"/>
    <w:rsid w:val="0057234C"/>
    <w:rsid w:val="005B793D"/>
    <w:rsid w:val="007356E6"/>
    <w:rsid w:val="00781F20"/>
    <w:rsid w:val="007D7E05"/>
    <w:rsid w:val="00952CF5"/>
    <w:rsid w:val="00A05943"/>
    <w:rsid w:val="00BC6ECD"/>
    <w:rsid w:val="00CA3DC8"/>
    <w:rsid w:val="00D57054"/>
    <w:rsid w:val="00D63124"/>
    <w:rsid w:val="00DC3924"/>
    <w:rsid w:val="00F06C0D"/>
    <w:rsid w:val="00F6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7324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304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3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1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847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5526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9060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24144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18" w:color="auto"/>
                                <w:left w:val="none" w:sz="0" w:space="24" w:color="auto"/>
                                <w:bottom w:val="single" w:sz="4" w:space="18" w:color="ECECEC"/>
                                <w:right w:val="none" w:sz="0" w:space="31" w:color="auto"/>
                              </w:divBdr>
                            </w:div>
                            <w:div w:id="2411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3869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4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22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563746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5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26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838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73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05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3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978810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59850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18" w:color="auto"/>
                                <w:left w:val="none" w:sz="0" w:space="24" w:color="auto"/>
                                <w:bottom w:val="single" w:sz="4" w:space="18" w:color="ECECEC"/>
                                <w:right w:val="none" w:sz="0" w:space="31" w:color="auto"/>
                              </w:divBdr>
                            </w:div>
                            <w:div w:id="47148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2741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399014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1516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18" w:color="auto"/>
                                <w:left w:val="none" w:sz="0" w:space="24" w:color="auto"/>
                                <w:bottom w:val="single" w:sz="4" w:space="18" w:color="ECECEC"/>
                                <w:right w:val="none" w:sz="0" w:space="31" w:color="auto"/>
                              </w:divBdr>
                            </w:div>
                            <w:div w:id="183895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0903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12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663044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40863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18" w:color="auto"/>
                                <w:left w:val="none" w:sz="0" w:space="24" w:color="auto"/>
                                <w:bottom w:val="single" w:sz="4" w:space="18" w:color="ECECEC"/>
                                <w:right w:val="none" w:sz="0" w:space="31" w:color="auto"/>
                              </w:divBdr>
                            </w:div>
                            <w:div w:id="65630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410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842820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84651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18" w:color="auto"/>
                                <w:left w:val="none" w:sz="0" w:space="24" w:color="auto"/>
                                <w:bottom w:val="single" w:sz="4" w:space="18" w:color="ECECEC"/>
                                <w:right w:val="none" w:sz="0" w:space="31" w:color="auto"/>
                              </w:divBdr>
                            </w:div>
                            <w:div w:id="271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77636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3818</Characters>
  <Application>Microsoft Office Word</Application>
  <DocSecurity>0</DocSecurity>
  <Lines>31</Lines>
  <Paragraphs>8</Paragraphs>
  <ScaleCrop>false</ScaleCrop>
  <Company>Microsoft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Максим</cp:lastModifiedBy>
  <cp:revision>3</cp:revision>
  <dcterms:created xsi:type="dcterms:W3CDTF">2021-07-08T12:22:00Z</dcterms:created>
  <dcterms:modified xsi:type="dcterms:W3CDTF">2021-07-09T07:36:00Z</dcterms:modified>
</cp:coreProperties>
</file>