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F72E" w14:textId="78B29BC1" w:rsidR="007268C1" w:rsidRPr="007268C1" w:rsidRDefault="000632D5" w:rsidP="007268C1">
      <w:pPr>
        <w:ind w:left="426" w:hanging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BA59B" w14:textId="20EB9AF2" w:rsidR="007268C1" w:rsidRPr="007268C1" w:rsidRDefault="00B90DE4" w:rsidP="007268C1">
      <w:pPr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994E1A5" wp14:editId="27B69EFB">
            <wp:extent cx="5905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2B91A2ED" w:rsidR="00654B60" w:rsidRPr="00B90DE4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BE5ED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163945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8E2114D" w14:textId="77777777" w:rsidR="00654B60" w:rsidRPr="000632D5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0632D5">
        <w:rPr>
          <w:rFonts w:ascii="Times New Roman" w:hAnsi="Times New Roman" w:cs="Times New Roman"/>
          <w:sz w:val="28"/>
          <w:szCs w:val="28"/>
        </w:rPr>
        <w:t>Р Е Ш Е Н И Е</w:t>
      </w:r>
    </w:p>
    <w:p w14:paraId="4A339747" w14:textId="4727F4F6" w:rsidR="00605021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2ED66F8" w14:textId="77777777" w:rsidR="00DE0699" w:rsidRPr="00E3692A" w:rsidRDefault="00DE0699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BE80E54" w14:textId="7559EA65" w:rsidR="00943100" w:rsidRDefault="00CB69B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>2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>9</w:t>
      </w:r>
      <w:r w:rsidR="0095392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 xml:space="preserve"> мая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202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>6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47EA4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B5917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717B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B5917">
        <w:rPr>
          <w:rFonts w:ascii="Times New Roman" w:hAnsi="Times New Roman"/>
          <w:bCs/>
          <w:kern w:val="28"/>
          <w:sz w:val="28"/>
          <w:szCs w:val="28"/>
        </w:rPr>
        <w:t>41</w:t>
      </w:r>
    </w:p>
    <w:p w14:paraId="6169CD02" w14:textId="59F0E27F" w:rsidR="005F7C33" w:rsidRDefault="00941D2F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92E0FFC" w14:textId="77777777" w:rsidR="00DE0699" w:rsidRPr="00DE0699" w:rsidRDefault="00DE0699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6649CFF9" w14:textId="2880C875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 Благодарственным </w:t>
      </w:r>
    </w:p>
    <w:p w14:paraId="06A2A42B" w14:textId="77777777" w:rsidR="00751E26" w:rsidRDefault="00751E26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письмом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57104D">
        <w:rPr>
          <w:rFonts w:ascii="Times New Roman" w:hAnsi="Times New Roman"/>
          <w:bCs/>
          <w:kern w:val="28"/>
          <w:sz w:val="28"/>
          <w:szCs w:val="28"/>
        </w:rPr>
        <w:t>окружного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9349891" w14:textId="49AF917F" w:rsidR="00103D52" w:rsidRDefault="003D644F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Совета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>депутатов</w:t>
      </w:r>
    </w:p>
    <w:p w14:paraId="46B0EBFF" w14:textId="2E16A2D7" w:rsidR="008C51B3" w:rsidRDefault="00103D52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3571DE4F" w14:textId="77777777" w:rsidR="00DE0699" w:rsidRPr="00DE0699" w:rsidRDefault="00DE0699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2877F97A" w14:textId="23AF0CC7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DE06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соответствии с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Уставом муниципального образования «Темкинский </w:t>
      </w:r>
      <w:r w:rsidR="003D2275">
        <w:rPr>
          <w:rFonts w:ascii="Times New Roman" w:hAnsi="Times New Roman"/>
          <w:bCs/>
          <w:kern w:val="28"/>
          <w:sz w:val="28"/>
          <w:szCs w:val="28"/>
        </w:rPr>
        <w:t>муниципальный округ»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Положением о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Благодарственном письме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Темкинского окружного Совета депутатов, </w:t>
      </w:r>
      <w:r w:rsidR="00E22535">
        <w:rPr>
          <w:rFonts w:ascii="Times New Roman" w:hAnsi="Times New Roman"/>
          <w:bCs/>
          <w:kern w:val="28"/>
          <w:sz w:val="28"/>
          <w:szCs w:val="28"/>
        </w:rPr>
        <w:t xml:space="preserve">ходатайством </w:t>
      </w:r>
      <w:r w:rsidR="00A04953"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бюджетного общеобразовательного учреждения </w:t>
      </w:r>
      <w:r w:rsidR="00E22535">
        <w:rPr>
          <w:rFonts w:ascii="Times New Roman" w:hAnsi="Times New Roman"/>
          <w:bCs/>
          <w:kern w:val="28"/>
          <w:sz w:val="28"/>
          <w:szCs w:val="28"/>
        </w:rPr>
        <w:t xml:space="preserve"> «Темкинская школа имени Героя Советского Союза Громова Георгия Васильевича» муниципального образования «Темкинский муниципальный округ» Смоленской области,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60596C16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Темкинский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34639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</w:rPr>
      </w:pPr>
    </w:p>
    <w:p w14:paraId="7F446983" w14:textId="4765C407" w:rsidR="00E90583" w:rsidRDefault="00DF53D2" w:rsidP="004F2151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Наградить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Благодарственным письмом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365E3B"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Совета депутатов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>:</w:t>
      </w:r>
    </w:p>
    <w:p w14:paraId="3F1680D1" w14:textId="649A2503" w:rsidR="008C2D5F" w:rsidRPr="00DE582E" w:rsidRDefault="00C3708C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 -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DE582E">
        <w:rPr>
          <w:rFonts w:ascii="Times New Roman" w:hAnsi="Times New Roman"/>
          <w:bCs/>
          <w:kern w:val="28"/>
          <w:sz w:val="28"/>
          <w:szCs w:val="28"/>
        </w:rPr>
        <w:t xml:space="preserve">заместителя директора по хозяйственной работе  </w:t>
      </w:r>
      <w:r w:rsidR="00B64727"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бюджетного общеобразовательного учреждения </w:t>
      </w:r>
      <w:r w:rsidR="000F3D3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1052B">
        <w:rPr>
          <w:rFonts w:ascii="Times New Roman" w:hAnsi="Times New Roman"/>
          <w:bCs/>
          <w:kern w:val="28"/>
          <w:sz w:val="28"/>
          <w:szCs w:val="28"/>
        </w:rPr>
        <w:t xml:space="preserve">«Темкинская </w:t>
      </w:r>
      <w:r w:rsidR="00B64727">
        <w:rPr>
          <w:rFonts w:ascii="Times New Roman" w:hAnsi="Times New Roman"/>
          <w:bCs/>
          <w:kern w:val="28"/>
          <w:sz w:val="28"/>
          <w:szCs w:val="28"/>
        </w:rPr>
        <w:t>средняя школа имени героя Советского Союза Громова Георгия Васильевича»</w:t>
      </w:r>
      <w:r w:rsidR="0061052B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="00215B26">
        <w:rPr>
          <w:rFonts w:ascii="Times New Roman" w:hAnsi="Times New Roman"/>
          <w:bCs/>
          <w:kern w:val="28"/>
          <w:sz w:val="28"/>
          <w:szCs w:val="28"/>
        </w:rPr>
        <w:t>,</w:t>
      </w:r>
      <w:r w:rsidR="0061052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DE582E" w:rsidRPr="00CD70AC">
        <w:rPr>
          <w:rFonts w:ascii="Times New Roman" w:hAnsi="Times New Roman"/>
          <w:bCs/>
          <w:kern w:val="28"/>
          <w:sz w:val="28"/>
          <w:szCs w:val="28"/>
        </w:rPr>
        <w:t>Лапина Александр Ивановича</w:t>
      </w:r>
      <w:r w:rsidR="005C7B8B" w:rsidRPr="00CD70AC">
        <w:rPr>
          <w:rFonts w:ascii="Times New Roman" w:hAnsi="Times New Roman"/>
          <w:bCs/>
          <w:kern w:val="28"/>
          <w:sz w:val="28"/>
          <w:szCs w:val="28"/>
        </w:rPr>
        <w:t>,</w:t>
      </w:r>
      <w:r w:rsidR="00DE582E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>за многолетний добросовестный труд, высоко</w:t>
      </w:r>
      <w:r w:rsidR="00DE582E">
        <w:rPr>
          <w:rFonts w:ascii="Times New Roman" w:hAnsi="Times New Roman"/>
          <w:bCs/>
          <w:kern w:val="28"/>
          <w:sz w:val="28"/>
          <w:szCs w:val="28"/>
        </w:rPr>
        <w:t xml:space="preserve">е 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 xml:space="preserve">профессиональное </w:t>
      </w:r>
      <w:r w:rsidR="00DE582E">
        <w:rPr>
          <w:rFonts w:ascii="Times New Roman" w:hAnsi="Times New Roman"/>
          <w:bCs/>
          <w:kern w:val="28"/>
          <w:sz w:val="28"/>
          <w:szCs w:val="28"/>
        </w:rPr>
        <w:t xml:space="preserve"> мастерство, большой вклад на благо развития муниципального образования, </w:t>
      </w:r>
      <w:r w:rsidR="00CD70AC">
        <w:rPr>
          <w:rFonts w:ascii="Times New Roman" w:hAnsi="Times New Roman"/>
          <w:bCs/>
          <w:kern w:val="28"/>
          <w:sz w:val="28"/>
          <w:szCs w:val="28"/>
        </w:rPr>
        <w:t xml:space="preserve"> доброжелательность и </w:t>
      </w:r>
      <w:r w:rsidR="00DE582E">
        <w:rPr>
          <w:rFonts w:ascii="Times New Roman" w:hAnsi="Times New Roman"/>
          <w:bCs/>
          <w:kern w:val="28"/>
          <w:sz w:val="28"/>
          <w:szCs w:val="28"/>
        </w:rPr>
        <w:t>активную жизненную позицию</w:t>
      </w:r>
      <w:r w:rsidR="00CD70AC">
        <w:rPr>
          <w:rFonts w:ascii="Times New Roman" w:hAnsi="Times New Roman"/>
          <w:bCs/>
          <w:kern w:val="28"/>
          <w:sz w:val="28"/>
          <w:szCs w:val="28"/>
        </w:rPr>
        <w:t>.</w:t>
      </w:r>
      <w:r w:rsidR="00DE582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D70A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BB52D3C" w14:textId="5BD2EA5B" w:rsidR="000E6416" w:rsidRDefault="005D0248" w:rsidP="007F032C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и разместить на официальном сайте Администрации муниципального образования «Темкинский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>информационно-телекоммуникационной сети «Интернет».</w:t>
      </w:r>
    </w:p>
    <w:p w14:paraId="413CFD6C" w14:textId="49DC4DC3" w:rsidR="007F032C" w:rsidRDefault="005C20FA" w:rsidP="007F032C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</w:t>
      </w:r>
      <w:r w:rsidR="00F0023E">
        <w:rPr>
          <w:rFonts w:ascii="Times New Roman" w:hAnsi="Times New Roman"/>
          <w:bCs/>
          <w:kern w:val="28"/>
          <w:sz w:val="28"/>
          <w:szCs w:val="28"/>
        </w:rPr>
        <w:t xml:space="preserve">со дня его принятия. </w:t>
      </w:r>
    </w:p>
    <w:p w14:paraId="4094FCF0" w14:textId="7EA21F2C" w:rsidR="000E6416" w:rsidRDefault="000E6416" w:rsidP="00C247C0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D04B9B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4E3255BA" w14:textId="2C18F05E" w:rsidR="00943100" w:rsidRDefault="00943100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53CA0A08" w14:textId="435F9CF5" w:rsidR="00D80B85" w:rsidRDefault="00D80B85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46153DF8" w14:textId="77777777" w:rsidR="00A04953" w:rsidRDefault="00A04953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3ABC13D8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r w:rsidR="0028561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</w:p>
    <w:p w14:paraId="7DBF5ADF" w14:textId="5BB1E091" w:rsidR="000E6416" w:rsidRDefault="00D04B9B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C71370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sectPr w:rsidR="000E6416" w:rsidSect="007268C1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212D" w14:textId="77777777" w:rsidR="00177801" w:rsidRDefault="00177801" w:rsidP="00066644">
      <w:pPr>
        <w:spacing w:after="0" w:line="240" w:lineRule="auto"/>
      </w:pPr>
      <w:r>
        <w:separator/>
      </w:r>
    </w:p>
  </w:endnote>
  <w:endnote w:type="continuationSeparator" w:id="0">
    <w:p w14:paraId="4681BA5A" w14:textId="77777777" w:rsidR="00177801" w:rsidRDefault="00177801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78EA" w14:textId="77777777" w:rsidR="00177801" w:rsidRDefault="00177801" w:rsidP="00066644">
      <w:pPr>
        <w:spacing w:after="0" w:line="240" w:lineRule="auto"/>
      </w:pPr>
      <w:r>
        <w:separator/>
      </w:r>
    </w:p>
  </w:footnote>
  <w:footnote w:type="continuationSeparator" w:id="0">
    <w:p w14:paraId="600CAF8A" w14:textId="77777777" w:rsidR="00177801" w:rsidRDefault="00177801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366"/>
    <w:rsid w:val="0001603C"/>
    <w:rsid w:val="000369BB"/>
    <w:rsid w:val="00040280"/>
    <w:rsid w:val="00040EB0"/>
    <w:rsid w:val="000632D5"/>
    <w:rsid w:val="00066644"/>
    <w:rsid w:val="00072024"/>
    <w:rsid w:val="000B5917"/>
    <w:rsid w:val="000E6416"/>
    <w:rsid w:val="000E6B5B"/>
    <w:rsid w:val="000F3D37"/>
    <w:rsid w:val="00103D52"/>
    <w:rsid w:val="001525BB"/>
    <w:rsid w:val="001603BB"/>
    <w:rsid w:val="00161557"/>
    <w:rsid w:val="00163945"/>
    <w:rsid w:val="00165E47"/>
    <w:rsid w:val="00177801"/>
    <w:rsid w:val="001B0557"/>
    <w:rsid w:val="001C27BC"/>
    <w:rsid w:val="001C7E95"/>
    <w:rsid w:val="001E65F9"/>
    <w:rsid w:val="001E6F18"/>
    <w:rsid w:val="001F08EF"/>
    <w:rsid w:val="00215B26"/>
    <w:rsid w:val="002453F2"/>
    <w:rsid w:val="00247EA4"/>
    <w:rsid w:val="00250189"/>
    <w:rsid w:val="002726F3"/>
    <w:rsid w:val="00285619"/>
    <w:rsid w:val="002A3629"/>
    <w:rsid w:val="002B3E99"/>
    <w:rsid w:val="0031562F"/>
    <w:rsid w:val="0031692D"/>
    <w:rsid w:val="0036073D"/>
    <w:rsid w:val="00365E3B"/>
    <w:rsid w:val="003905B2"/>
    <w:rsid w:val="00390821"/>
    <w:rsid w:val="003B7674"/>
    <w:rsid w:val="003C5FC3"/>
    <w:rsid w:val="003C7B4A"/>
    <w:rsid w:val="003D2275"/>
    <w:rsid w:val="003D644F"/>
    <w:rsid w:val="003E330A"/>
    <w:rsid w:val="00444D64"/>
    <w:rsid w:val="00477B50"/>
    <w:rsid w:val="004B5EA6"/>
    <w:rsid w:val="004D60BD"/>
    <w:rsid w:val="004F2151"/>
    <w:rsid w:val="004F3EA6"/>
    <w:rsid w:val="00504046"/>
    <w:rsid w:val="00511B91"/>
    <w:rsid w:val="00514DA2"/>
    <w:rsid w:val="00530215"/>
    <w:rsid w:val="005607BB"/>
    <w:rsid w:val="0057104D"/>
    <w:rsid w:val="00573EF5"/>
    <w:rsid w:val="005C20FA"/>
    <w:rsid w:val="005C7B8B"/>
    <w:rsid w:val="005D0248"/>
    <w:rsid w:val="005F7C33"/>
    <w:rsid w:val="00605021"/>
    <w:rsid w:val="0061052B"/>
    <w:rsid w:val="006210D8"/>
    <w:rsid w:val="00630492"/>
    <w:rsid w:val="00634C5D"/>
    <w:rsid w:val="00642161"/>
    <w:rsid w:val="00654B60"/>
    <w:rsid w:val="0067704B"/>
    <w:rsid w:val="006B45CE"/>
    <w:rsid w:val="006E7369"/>
    <w:rsid w:val="006F165D"/>
    <w:rsid w:val="00717BFE"/>
    <w:rsid w:val="007268C1"/>
    <w:rsid w:val="00744772"/>
    <w:rsid w:val="00751E26"/>
    <w:rsid w:val="007723CB"/>
    <w:rsid w:val="007A7FF3"/>
    <w:rsid w:val="007C6A3F"/>
    <w:rsid w:val="007E15DA"/>
    <w:rsid w:val="007F032C"/>
    <w:rsid w:val="007F06A6"/>
    <w:rsid w:val="007F5136"/>
    <w:rsid w:val="007F7712"/>
    <w:rsid w:val="00860D0D"/>
    <w:rsid w:val="008845C4"/>
    <w:rsid w:val="008A7245"/>
    <w:rsid w:val="008C1577"/>
    <w:rsid w:val="008C2AFF"/>
    <w:rsid w:val="008C2D5F"/>
    <w:rsid w:val="008C4963"/>
    <w:rsid w:val="008C51B3"/>
    <w:rsid w:val="008E1568"/>
    <w:rsid w:val="008E7F5D"/>
    <w:rsid w:val="008F4BAE"/>
    <w:rsid w:val="0090728C"/>
    <w:rsid w:val="00910B1F"/>
    <w:rsid w:val="00920AD3"/>
    <w:rsid w:val="00941D2F"/>
    <w:rsid w:val="00943100"/>
    <w:rsid w:val="0095392D"/>
    <w:rsid w:val="0097154A"/>
    <w:rsid w:val="00986DB2"/>
    <w:rsid w:val="009872EB"/>
    <w:rsid w:val="009B6FFE"/>
    <w:rsid w:val="009C4BF0"/>
    <w:rsid w:val="00A04953"/>
    <w:rsid w:val="00A4189F"/>
    <w:rsid w:val="00A862CC"/>
    <w:rsid w:val="00AB2618"/>
    <w:rsid w:val="00AB70BE"/>
    <w:rsid w:val="00B01815"/>
    <w:rsid w:val="00B2521F"/>
    <w:rsid w:val="00B34639"/>
    <w:rsid w:val="00B35E67"/>
    <w:rsid w:val="00B46E95"/>
    <w:rsid w:val="00B64727"/>
    <w:rsid w:val="00B827D7"/>
    <w:rsid w:val="00B855F4"/>
    <w:rsid w:val="00B90DE4"/>
    <w:rsid w:val="00B95222"/>
    <w:rsid w:val="00BB6A81"/>
    <w:rsid w:val="00BC1F8F"/>
    <w:rsid w:val="00BD358D"/>
    <w:rsid w:val="00BD405B"/>
    <w:rsid w:val="00BD5ABF"/>
    <w:rsid w:val="00BE5ED6"/>
    <w:rsid w:val="00C247C0"/>
    <w:rsid w:val="00C3708C"/>
    <w:rsid w:val="00C37E30"/>
    <w:rsid w:val="00C71370"/>
    <w:rsid w:val="00CB062B"/>
    <w:rsid w:val="00CB0C50"/>
    <w:rsid w:val="00CB69B6"/>
    <w:rsid w:val="00CD70AC"/>
    <w:rsid w:val="00CD7B1D"/>
    <w:rsid w:val="00D04B9B"/>
    <w:rsid w:val="00D74740"/>
    <w:rsid w:val="00D80B85"/>
    <w:rsid w:val="00D93081"/>
    <w:rsid w:val="00DA0E26"/>
    <w:rsid w:val="00DB086E"/>
    <w:rsid w:val="00DE0699"/>
    <w:rsid w:val="00DE582E"/>
    <w:rsid w:val="00DF53D2"/>
    <w:rsid w:val="00E022B2"/>
    <w:rsid w:val="00E12588"/>
    <w:rsid w:val="00E214EB"/>
    <w:rsid w:val="00E22535"/>
    <w:rsid w:val="00E24FA2"/>
    <w:rsid w:val="00E3692A"/>
    <w:rsid w:val="00E36B56"/>
    <w:rsid w:val="00E65C0E"/>
    <w:rsid w:val="00E74C6D"/>
    <w:rsid w:val="00E81EBB"/>
    <w:rsid w:val="00E85235"/>
    <w:rsid w:val="00E90583"/>
    <w:rsid w:val="00E91E63"/>
    <w:rsid w:val="00ED524D"/>
    <w:rsid w:val="00EF6988"/>
    <w:rsid w:val="00F0023E"/>
    <w:rsid w:val="00F120D7"/>
    <w:rsid w:val="00F13473"/>
    <w:rsid w:val="00F173E5"/>
    <w:rsid w:val="00F81A43"/>
    <w:rsid w:val="00F96685"/>
    <w:rsid w:val="00FB1175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2024-08-23T13:49:00Z</cp:lastPrinted>
  <dcterms:created xsi:type="dcterms:W3CDTF">2024-05-17T12:21:00Z</dcterms:created>
  <dcterms:modified xsi:type="dcterms:W3CDTF">2026-06-01T06:05:00Z</dcterms:modified>
</cp:coreProperties>
</file>