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C" w:rsidRPr="008C4E3C" w:rsidRDefault="008C4E3C" w:rsidP="008C4E3C">
      <w:pPr>
        <w:shd w:val="clear" w:color="auto" w:fill="FFFFFF"/>
        <w:spacing w:after="72" w:line="240" w:lineRule="auto"/>
        <w:outlineLvl w:val="0"/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</w:pPr>
      <w:proofErr w:type="spellStart"/>
      <w:r w:rsidRPr="008C4E3C">
        <w:rPr>
          <w:rFonts w:ascii="Trebuchet MS" w:eastAsia="Times New Roman" w:hAnsi="Trebuchet MS" w:cs="Times New Roman"/>
          <w:b/>
          <w:bCs/>
          <w:color w:val="174E7D"/>
          <w:kern w:val="36"/>
          <w:sz w:val="45"/>
          <w:szCs w:val="45"/>
          <w:lang w:eastAsia="ru-RU"/>
        </w:rPr>
        <w:t>Микрофинансирование</w:t>
      </w:r>
      <w:proofErr w:type="spellEnd"/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b/>
          <w:bCs/>
          <w:color w:val="000080"/>
          <w:sz w:val="30"/>
          <w:lang w:eastAsia="ru-RU"/>
        </w:rPr>
        <w:t>Продукты Фонда:</w:t>
      </w:r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4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Обрабатывающее производство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5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Сельское хозяйство, лесное хозяйство, охота, рыболовство, рыбоводство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6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Торговля оптовая и розничная; ремонт автотранспортных средств и мотоциклов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7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Деятельность по предоставлению мест для временного проживания, деятельность туристических агентств и прочих организаций, предоставляющих услуги в сфере туризма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8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Иные виды деятельности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9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"СТАРТАП" без залога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10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Разработка компьютерного программного обеспечения, консультационные услуги в данной области и другие сопутствующие услуги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11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Производство антисептических и дезинфицирующих средств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12" w:history="1">
        <w:proofErr w:type="spellStart"/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Самозанятые</w:t>
        </w:r>
        <w:proofErr w:type="spellEnd"/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 xml:space="preserve"> - физические лица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13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21"/>
            <w:lang w:eastAsia="ru-RU"/>
          </w:rPr>
          <w:t>"Франшиза"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jc w:val="both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i/>
          <w:iCs/>
          <w:color w:val="282828"/>
          <w:sz w:val="21"/>
          <w:lang w:eastAsia="ru-RU"/>
        </w:rPr>
        <w:t>   </w:t>
      </w:r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 xml:space="preserve">При введении режима повышенной готовности или режима чрезвычайной ситуации срок действия </w:t>
      </w:r>
      <w:proofErr w:type="spellStart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>микрозайма</w:t>
      </w:r>
      <w:proofErr w:type="spellEnd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 xml:space="preserve"> не может превышать 24 </w:t>
      </w:r>
      <w:proofErr w:type="spellStart"/>
      <w:proofErr w:type="gramStart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>мес</w:t>
      </w:r>
      <w:proofErr w:type="spellEnd"/>
      <w:proofErr w:type="gramEnd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 xml:space="preserve">, процентная ставка равна ключевой ставке ЦБ на дату подписания договора </w:t>
      </w:r>
      <w:proofErr w:type="spellStart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>микрозайма</w:t>
      </w:r>
      <w:proofErr w:type="spellEnd"/>
      <w:r w:rsidRPr="008C4E3C">
        <w:rPr>
          <w:rFonts w:ascii="Trebuchet MS" w:eastAsia="Times New Roman" w:hAnsi="Trebuchet MS" w:cs="Times New Roman"/>
          <w:i/>
          <w:iCs/>
          <w:color w:val="000080"/>
          <w:sz w:val="21"/>
          <w:lang w:eastAsia="ru-RU"/>
        </w:rPr>
        <w:t>, если более низкие процентный ставки не предусмотрены Правилами.</w:t>
      </w:r>
    </w:p>
    <w:p w:rsidR="008C4E3C" w:rsidRPr="008C4E3C" w:rsidRDefault="008C4E3C" w:rsidP="008C4E3C">
      <w:pPr>
        <w:pBdr>
          <w:top w:val="single" w:sz="6" w:space="11" w:color="C5DCE8"/>
          <w:bottom w:val="single" w:sz="6" w:space="11" w:color="C5DCE8"/>
        </w:pBdr>
        <w:shd w:val="clear" w:color="auto" w:fill="EBF5FA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 xml:space="preserve">Для более подробной консультации обращайтесь в отдел </w:t>
      </w:r>
      <w:proofErr w:type="spellStart"/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микрофинансирования</w:t>
      </w:r>
      <w:proofErr w:type="spellEnd"/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 xml:space="preserve"> по телефону: +7 (4812) 77-70-77 (</w:t>
      </w:r>
      <w:hyperlink r:id="rId14" w:history="1">
        <w:r w:rsidRPr="008C4E3C">
          <w:rPr>
            <w:rFonts w:ascii="Trebuchet MS" w:eastAsia="Times New Roman" w:hAnsi="Trebuchet MS" w:cs="Times New Roman"/>
            <w:color w:val="2172AE"/>
            <w:sz w:val="21"/>
            <w:lang w:eastAsia="ru-RU"/>
          </w:rPr>
          <w:t>Контактные лица</w:t>
        </w:r>
      </w:hyperlink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)</w:t>
      </w:r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 </w:t>
      </w:r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hyperlink r:id="rId15" w:history="1"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30"/>
            <w:lang w:eastAsia="ru-RU"/>
          </w:rPr>
          <w:t xml:space="preserve">Правила предоставления </w:t>
        </w:r>
        <w:proofErr w:type="spellStart"/>
        <w:r w:rsidRPr="008C4E3C">
          <w:rPr>
            <w:rFonts w:ascii="Trebuchet MS" w:eastAsia="Times New Roman" w:hAnsi="Trebuchet MS" w:cs="Times New Roman"/>
            <w:b/>
            <w:bCs/>
            <w:color w:val="2172AE"/>
            <w:sz w:val="30"/>
            <w:lang w:eastAsia="ru-RU"/>
          </w:rPr>
          <w:t>микрозаймов</w:t>
        </w:r>
        <w:proofErr w:type="spellEnd"/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jc w:val="center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b/>
          <w:bCs/>
          <w:color w:val="282828"/>
          <w:sz w:val="30"/>
          <w:lang w:eastAsia="ru-RU"/>
        </w:rPr>
        <w:t xml:space="preserve">Перечень документов для получения </w:t>
      </w:r>
      <w:proofErr w:type="spellStart"/>
      <w:r w:rsidRPr="008C4E3C">
        <w:rPr>
          <w:rFonts w:ascii="Trebuchet MS" w:eastAsia="Times New Roman" w:hAnsi="Trebuchet MS" w:cs="Times New Roman"/>
          <w:b/>
          <w:bCs/>
          <w:color w:val="282828"/>
          <w:sz w:val="30"/>
          <w:lang w:eastAsia="ru-RU"/>
        </w:rPr>
        <w:t>микрозайма</w:t>
      </w:r>
      <w:proofErr w:type="spellEnd"/>
      <w:r w:rsidRPr="008C4E3C">
        <w:rPr>
          <w:rFonts w:ascii="Trebuchet MS" w:eastAsia="Times New Roman" w:hAnsi="Trebuchet MS" w:cs="Times New Roman"/>
          <w:b/>
          <w:bCs/>
          <w:color w:val="282828"/>
          <w:sz w:val="30"/>
          <w:lang w:eastAsia="ru-RU"/>
        </w:rPr>
        <w:t>:</w:t>
      </w:r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t>    </w:t>
      </w:r>
      <w:hyperlink r:id="rId16" w:history="1">
        <w:r w:rsidRPr="008C4E3C">
          <w:rPr>
            <w:rFonts w:ascii="Comic Sans MS" w:eastAsia="Times New Roman" w:hAnsi="Comic Sans MS" w:cs="Times New Roman"/>
            <w:b/>
            <w:bCs/>
            <w:color w:val="2172AE"/>
            <w:sz w:val="21"/>
            <w:lang w:eastAsia="ru-RU"/>
          </w:rPr>
          <w:t>Юридические лица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t>    </w:t>
      </w:r>
      <w:hyperlink r:id="rId17" w:history="1">
        <w:r w:rsidRPr="008C4E3C">
          <w:rPr>
            <w:rFonts w:ascii="Comic Sans MS" w:eastAsia="Times New Roman" w:hAnsi="Comic Sans MS" w:cs="Times New Roman"/>
            <w:b/>
            <w:bCs/>
            <w:color w:val="2172AE"/>
            <w:sz w:val="21"/>
            <w:lang w:eastAsia="ru-RU"/>
          </w:rPr>
          <w:t>Индивидуальные предприниматели</w:t>
        </w:r>
      </w:hyperlink>
    </w:p>
    <w:p w:rsidR="008C4E3C" w:rsidRPr="008C4E3C" w:rsidRDefault="008C4E3C" w:rsidP="008C4E3C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t>    </w:t>
      </w:r>
      <w:proofErr w:type="spellStart"/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fldChar w:fldCharType="begin"/>
      </w: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instrText xml:space="preserve"> HYPERLINK "http://support.accura.su/mikrofinansirovanie/samozanyatye-fizicheskie-lica/" </w:instrText>
      </w: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fldChar w:fldCharType="separate"/>
      </w:r>
      <w:r w:rsidRPr="008C4E3C">
        <w:rPr>
          <w:rFonts w:ascii="Comic Sans MS" w:eastAsia="Times New Roman" w:hAnsi="Comic Sans MS" w:cs="Times New Roman"/>
          <w:b/>
          <w:bCs/>
          <w:color w:val="2172AE"/>
          <w:sz w:val="21"/>
          <w:lang w:eastAsia="ru-RU"/>
        </w:rPr>
        <w:t>Самозанятые</w:t>
      </w:r>
      <w:proofErr w:type="spellEnd"/>
      <w:r w:rsidRPr="008C4E3C">
        <w:rPr>
          <w:rFonts w:ascii="Comic Sans MS" w:eastAsia="Times New Roman" w:hAnsi="Comic Sans MS" w:cs="Times New Roman"/>
          <w:b/>
          <w:bCs/>
          <w:color w:val="2172AE"/>
          <w:sz w:val="21"/>
          <w:lang w:eastAsia="ru-RU"/>
        </w:rPr>
        <w:t xml:space="preserve"> - физические лица</w:t>
      </w:r>
      <w:r w:rsidRPr="008C4E3C">
        <w:rPr>
          <w:rFonts w:ascii="Comic Sans MS" w:eastAsia="Times New Roman" w:hAnsi="Comic Sans MS" w:cs="Times New Roman"/>
          <w:b/>
          <w:bCs/>
          <w:color w:val="282828"/>
          <w:sz w:val="21"/>
          <w:lang w:eastAsia="ru-RU"/>
        </w:rPr>
        <w:fldChar w:fldCharType="end"/>
      </w:r>
    </w:p>
    <w:p w:rsidR="008C4E3C" w:rsidRPr="008C4E3C" w:rsidRDefault="008C4E3C" w:rsidP="0076498A">
      <w:pPr>
        <w:shd w:val="clear" w:color="auto" w:fill="FFFFFF"/>
        <w:spacing w:after="240" w:line="240" w:lineRule="auto"/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</w:pPr>
      <w:r w:rsidRPr="008C4E3C">
        <w:rPr>
          <w:rFonts w:ascii="Trebuchet MS" w:eastAsia="Times New Roman" w:hAnsi="Trebuchet MS" w:cs="Times New Roman"/>
          <w:color w:val="282828"/>
          <w:sz w:val="21"/>
          <w:szCs w:val="21"/>
          <w:lang w:eastAsia="ru-RU"/>
        </w:rPr>
        <w:t> </w:t>
      </w:r>
      <w:r w:rsidRPr="008C4E3C">
        <w:rPr>
          <w:rFonts w:ascii="Tahoma" w:eastAsia="Times New Roman" w:hAnsi="Tahoma" w:cs="Tahoma"/>
          <w:b/>
          <w:bCs/>
          <w:i/>
          <w:iCs/>
          <w:color w:val="282828"/>
          <w:sz w:val="17"/>
          <w:lang w:eastAsia="ru-RU"/>
        </w:rPr>
        <w:t>   </w:t>
      </w:r>
      <w:proofErr w:type="spellStart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t>Микрокредитная</w:t>
      </w:r>
      <w:proofErr w:type="spellEnd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t xml:space="preserve"> компания «Смоленский областной фонд поддержки предпринимательства» осуществляет финансовую поддержку субъектов малого и среднего предпринимательства с использованием механизма </w:t>
      </w:r>
      <w:proofErr w:type="spellStart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t>микрофинансирования</w:t>
      </w:r>
      <w:proofErr w:type="spellEnd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t>, в том числе за счет целевых ресурсов Акционерного общества «Российский Банк поддержки малого и среднего предпринимательства» (АО «МСП Банк»). Информация о Программе финансовой поддержки малого и среднего предпринимательства представлена на официальном сайте Акционерного общества «Российский Банк поддержки малого и среднего предпринимательства» (АО «МСП Банк») </w:t>
      </w:r>
      <w:proofErr w:type="spellStart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fldChar w:fldCharType="begin"/>
      </w:r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instrText xml:space="preserve"> HYPERLINK "http://www.mspbank.ru/" </w:instrText>
      </w:r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fldChar w:fldCharType="separate"/>
      </w:r>
      <w:r w:rsidRPr="008C4E3C">
        <w:rPr>
          <w:rFonts w:ascii="Tahoma" w:eastAsia="Times New Roman" w:hAnsi="Tahoma" w:cs="Tahoma"/>
          <w:b/>
          <w:bCs/>
          <w:color w:val="2172AE"/>
          <w:sz w:val="17"/>
          <w:lang w:eastAsia="ru-RU"/>
        </w:rPr>
        <w:t>mspbank.ru</w:t>
      </w:r>
      <w:proofErr w:type="spellEnd"/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fldChar w:fldCharType="end"/>
      </w:r>
      <w:r w:rsidRPr="008C4E3C">
        <w:rPr>
          <w:rFonts w:ascii="Tahoma" w:eastAsia="Times New Roman" w:hAnsi="Tahoma" w:cs="Tahoma"/>
          <w:b/>
          <w:bCs/>
          <w:color w:val="282828"/>
          <w:sz w:val="17"/>
          <w:lang w:eastAsia="ru-RU"/>
        </w:rPr>
        <w:t>.</w:t>
      </w:r>
    </w:p>
    <w:p w:rsidR="00DC3924" w:rsidRDefault="00DC3924"/>
    <w:sectPr w:rsidR="00DC3924" w:rsidSect="009B0805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C4E3C"/>
    <w:rsid w:val="00052742"/>
    <w:rsid w:val="00094AEA"/>
    <w:rsid w:val="00107018"/>
    <w:rsid w:val="00143AF5"/>
    <w:rsid w:val="00210BFE"/>
    <w:rsid w:val="0028163D"/>
    <w:rsid w:val="002B3D35"/>
    <w:rsid w:val="00370DD3"/>
    <w:rsid w:val="003A0A5E"/>
    <w:rsid w:val="003E45AD"/>
    <w:rsid w:val="0057234C"/>
    <w:rsid w:val="005B793D"/>
    <w:rsid w:val="005F11FA"/>
    <w:rsid w:val="007356E6"/>
    <w:rsid w:val="0076498A"/>
    <w:rsid w:val="00781F20"/>
    <w:rsid w:val="007D7E05"/>
    <w:rsid w:val="008C4E3C"/>
    <w:rsid w:val="008E2712"/>
    <w:rsid w:val="00952CF5"/>
    <w:rsid w:val="009A7603"/>
    <w:rsid w:val="009B0805"/>
    <w:rsid w:val="00A05943"/>
    <w:rsid w:val="00BA12BD"/>
    <w:rsid w:val="00BC6ECD"/>
    <w:rsid w:val="00DC3924"/>
    <w:rsid w:val="00F0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24"/>
  </w:style>
  <w:style w:type="paragraph" w:styleId="1">
    <w:name w:val="heading 1"/>
    <w:basedOn w:val="a"/>
    <w:link w:val="10"/>
    <w:uiPriority w:val="9"/>
    <w:qFormat/>
    <w:rsid w:val="008C4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E3C"/>
    <w:rPr>
      <w:b/>
      <w:bCs/>
    </w:rPr>
  </w:style>
  <w:style w:type="character" w:styleId="a5">
    <w:name w:val="Hyperlink"/>
    <w:basedOn w:val="a0"/>
    <w:uiPriority w:val="99"/>
    <w:semiHidden/>
    <w:unhideWhenUsed/>
    <w:rsid w:val="008C4E3C"/>
    <w:rPr>
      <w:color w:val="0000FF"/>
      <w:u w:val="single"/>
    </w:rPr>
  </w:style>
  <w:style w:type="character" w:styleId="a6">
    <w:name w:val="Emphasis"/>
    <w:basedOn w:val="a0"/>
    <w:uiPriority w:val="20"/>
    <w:qFormat/>
    <w:rsid w:val="008C4E3C"/>
    <w:rPr>
      <w:i/>
      <w:iCs/>
    </w:rPr>
  </w:style>
  <w:style w:type="paragraph" w:customStyle="1" w:styleId="t-box-info">
    <w:name w:val="t-box-info"/>
    <w:basedOn w:val="a"/>
    <w:rsid w:val="008C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accura.su/mikrofinansirovanie/inye-vidy-deyatelnosti/" TargetMode="External"/><Relationship Id="rId13" Type="http://schemas.openxmlformats.org/officeDocument/2006/relationships/hyperlink" Target="http://support.accura.su/mikrofinansirovanie/franshiza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pport.accura.su/mikrofinansirovanie/deyatelnost-po-predostavleniju-mest-dlya-vremennogo-prozhivaniya/" TargetMode="External"/><Relationship Id="rId12" Type="http://schemas.openxmlformats.org/officeDocument/2006/relationships/hyperlink" Target="http://support.accura.su/mikrofinansirovanie/samozanyatye-fizicheskie-lica_848/" TargetMode="External"/><Relationship Id="rId17" Type="http://schemas.openxmlformats.org/officeDocument/2006/relationships/hyperlink" Target="http://support.accura.su/mikrofinansirovanie/individualnye-predprinimatel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upport.accura.su/mikrofinansirovanie/juridicheskie-lica/" TargetMode="External"/><Relationship Id="rId1" Type="http://schemas.openxmlformats.org/officeDocument/2006/relationships/styles" Target="styles.xml"/><Relationship Id="rId6" Type="http://schemas.openxmlformats.org/officeDocument/2006/relationships/hyperlink" Target="http://support.accura.su/mikrofinansirovanie/torgovlya-optovaya-i-roznichnaya-remont-avtotransportnyh-sredstv/" TargetMode="External"/><Relationship Id="rId11" Type="http://schemas.openxmlformats.org/officeDocument/2006/relationships/hyperlink" Target="http://support.accura.su/mikrofinansirovanie/proizvodstvo-antisepticheskih-i-dezinficirujuschih-sredstv/" TargetMode="External"/><Relationship Id="rId5" Type="http://schemas.openxmlformats.org/officeDocument/2006/relationships/hyperlink" Target="http://support.accura.su/mikrofinansirovanie/selskoe-hozyajstvo-lesnoe-hozyajstvo-ohota-rybolovstvo-rybovodst/" TargetMode="External"/><Relationship Id="rId15" Type="http://schemas.openxmlformats.org/officeDocument/2006/relationships/hyperlink" Target="http://support.accura.su/img/file/pr_2021_mf.doc" TargetMode="External"/><Relationship Id="rId10" Type="http://schemas.openxmlformats.org/officeDocument/2006/relationships/hyperlink" Target="http://support.accura.su/mikrofinansirovanie/razrabotka-kompjuternogo-programmnogo-obespecheniya-konsultacion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upport.accura.su/mikrofinansirovanie/obrabatyvajuschee-proizvodstvo/" TargetMode="External"/><Relationship Id="rId9" Type="http://schemas.openxmlformats.org/officeDocument/2006/relationships/hyperlink" Target="http://support.accura.su/mikrofinansirovanie/startap-bez-zaloga/" TargetMode="External"/><Relationship Id="rId14" Type="http://schemas.openxmlformats.org/officeDocument/2006/relationships/hyperlink" Target="http://support.accura.su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2783</Characters>
  <Application>Microsoft Office Word</Application>
  <DocSecurity>0</DocSecurity>
  <Lines>23</Lines>
  <Paragraphs>6</Paragraphs>
  <ScaleCrop>false</ScaleCrop>
  <Company>Microsoft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2</cp:revision>
  <dcterms:created xsi:type="dcterms:W3CDTF">2023-01-10T09:07:00Z</dcterms:created>
  <dcterms:modified xsi:type="dcterms:W3CDTF">2023-01-10T09:11:00Z</dcterms:modified>
</cp:coreProperties>
</file>