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946A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5946A2">
        <w:rPr>
          <w:sz w:val="28"/>
          <w:szCs w:val="28"/>
        </w:rPr>
        <w:t>Громова Николая Александровича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5946A2">
        <w:rPr>
          <w:sz w:val="28"/>
          <w:szCs w:val="28"/>
        </w:rPr>
        <w:t>Громова Николая Александровича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5946A2">
        <w:rPr>
          <w:sz w:val="28"/>
          <w:szCs w:val="28"/>
        </w:rPr>
        <w:t>Громова Николая Александровича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5946A2" w:rsidRPr="00D565D4" w:rsidRDefault="005946A2" w:rsidP="005946A2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Громова Николая Александровича, 1960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заведующего Замыцким СДК МБУК «Централизованная клубная система» муниципального образования «Темкинский район»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Замыцкое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 Всероссийской политической партии </w:t>
      </w:r>
      <w:r w:rsidRPr="002A0368">
        <w:rPr>
          <w:b/>
          <w:sz w:val="28"/>
          <w:szCs w:val="28"/>
        </w:rPr>
        <w:t>«ЕДИНАЯ РОССИЯ».</w:t>
      </w:r>
    </w:p>
    <w:p w:rsidR="005946A2" w:rsidRPr="00D565D4" w:rsidRDefault="005946A2" w:rsidP="005946A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16 часов 00</w:t>
      </w:r>
      <w:r w:rsidRPr="00D565D4">
        <w:rPr>
          <w:sz w:val="28"/>
          <w:szCs w:val="28"/>
        </w:rPr>
        <w:t xml:space="preserve"> минут.</w:t>
      </w:r>
    </w:p>
    <w:p w:rsidR="005946A2" w:rsidRPr="00D565D4" w:rsidRDefault="005946A2" w:rsidP="005946A2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Громова Николая Александровича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74407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F38CF"/>
    <w:rsid w:val="00943B5B"/>
    <w:rsid w:val="009558F8"/>
    <w:rsid w:val="009702ED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406C2"/>
    <w:rsid w:val="00C539BA"/>
    <w:rsid w:val="00CA20EA"/>
    <w:rsid w:val="00CB0444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2017-09-05T08:44:00Z</dcterms:created>
  <dcterms:modified xsi:type="dcterms:W3CDTF">2017-09-05T08:46:00Z</dcterms:modified>
</cp:coreProperties>
</file>