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94" w:rsidRPr="004177AF" w:rsidRDefault="00B00894" w:rsidP="00B00894">
      <w:pPr>
        <w:pStyle w:val="aff5"/>
        <w:tabs>
          <w:tab w:val="left" w:pos="3000"/>
          <w:tab w:val="center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4177AF">
        <w:rPr>
          <w:rFonts w:ascii="Times New Roman" w:eastAsia="Times New Roman CYR" w:hAnsi="Times New Roman" w:cs="Times New Roman"/>
          <w:b/>
          <w:bCs/>
          <w:noProof/>
        </w:rPr>
        <w:drawing>
          <wp:inline distT="0" distB="0" distL="0" distR="0">
            <wp:extent cx="752475" cy="866775"/>
            <wp:effectExtent l="19050" t="0" r="952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894" w:rsidRPr="004177AF" w:rsidRDefault="00B00894" w:rsidP="00B00894">
      <w:pPr>
        <w:pStyle w:val="aff5"/>
        <w:jc w:val="center"/>
        <w:rPr>
          <w:rFonts w:ascii="Times New Roman" w:hAnsi="Times New Roman" w:cs="Times New Roman"/>
        </w:rPr>
      </w:pPr>
    </w:p>
    <w:p w:rsidR="00B00894" w:rsidRPr="004177AF" w:rsidRDefault="00B00894" w:rsidP="00B00894">
      <w:pPr>
        <w:pStyle w:val="aff5"/>
        <w:jc w:val="center"/>
        <w:rPr>
          <w:rFonts w:ascii="Times New Roman" w:eastAsia="Times New Roman CYR" w:hAnsi="Times New Roman" w:cs="Times New Roman"/>
          <w:b/>
          <w:bCs/>
        </w:rPr>
      </w:pPr>
      <w:r w:rsidRPr="004177AF">
        <w:rPr>
          <w:rFonts w:ascii="Times New Roman" w:eastAsia="Times New Roman CYR" w:hAnsi="Times New Roman" w:cs="Times New Roman"/>
          <w:b/>
          <w:bCs/>
        </w:rPr>
        <w:t>АДМИНИСТРАЦИЯ МУНИЦИПАЛЬНОГО ОБРАЗОВАНИЯ</w:t>
      </w:r>
    </w:p>
    <w:p w:rsidR="00B00894" w:rsidRPr="004177AF" w:rsidRDefault="00B00894" w:rsidP="00B00894">
      <w:pPr>
        <w:pStyle w:val="aff5"/>
        <w:jc w:val="center"/>
        <w:rPr>
          <w:rFonts w:ascii="Times New Roman" w:eastAsia="Times New Roman CYR" w:hAnsi="Times New Roman" w:cs="Times New Roman"/>
          <w:b/>
          <w:bCs/>
        </w:rPr>
      </w:pPr>
      <w:r w:rsidRPr="004177AF">
        <w:rPr>
          <w:rFonts w:ascii="Times New Roman" w:eastAsia="Times New Roman CYR" w:hAnsi="Times New Roman" w:cs="Times New Roman"/>
          <w:b/>
          <w:bCs/>
        </w:rPr>
        <w:t>«ТЕМКИНСКИЙ МУНИЦИПАЛЬНЫЙ ОКРУГ» СМОЛЕНСКОЙ ОБЛАСТИ</w:t>
      </w:r>
    </w:p>
    <w:p w:rsidR="00B00894" w:rsidRPr="004177AF" w:rsidRDefault="00B00894" w:rsidP="00B00894">
      <w:pPr>
        <w:pStyle w:val="aff5"/>
        <w:jc w:val="center"/>
        <w:rPr>
          <w:rFonts w:ascii="Times New Roman" w:eastAsia="Times New Roman CYR" w:hAnsi="Times New Roman" w:cs="Times New Roman"/>
          <w:b/>
          <w:bCs/>
        </w:rPr>
      </w:pPr>
    </w:p>
    <w:p w:rsidR="00B00894" w:rsidRPr="004177AF" w:rsidRDefault="00B00894" w:rsidP="00B00894">
      <w:pPr>
        <w:pStyle w:val="aff5"/>
        <w:jc w:val="center"/>
        <w:rPr>
          <w:rFonts w:ascii="Times New Roman" w:eastAsia="Times New Roman CYR" w:hAnsi="Times New Roman" w:cs="Times New Roman"/>
          <w:b/>
          <w:bCs/>
          <w:sz w:val="36"/>
          <w:szCs w:val="36"/>
        </w:rPr>
      </w:pPr>
      <w:r w:rsidRPr="004177AF">
        <w:rPr>
          <w:rFonts w:ascii="Times New Roman" w:eastAsia="Times New Roman CYR" w:hAnsi="Times New Roman" w:cs="Times New Roman"/>
          <w:b/>
          <w:bCs/>
          <w:sz w:val="36"/>
          <w:szCs w:val="36"/>
          <w:lang w:eastAsia="ar-SA"/>
        </w:rPr>
        <w:t>ПОСТАНОВЛЕНИЕ</w:t>
      </w:r>
    </w:p>
    <w:p w:rsidR="00B00894" w:rsidRPr="004177AF" w:rsidRDefault="00B00894" w:rsidP="00B00894">
      <w:pPr>
        <w:pStyle w:val="aff5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ar-SA"/>
        </w:rPr>
      </w:pPr>
    </w:p>
    <w:p w:rsidR="00B00894" w:rsidRDefault="00B00894" w:rsidP="00B00894">
      <w:pPr>
        <w:pStyle w:val="aff5"/>
        <w:ind w:firstLine="0"/>
        <w:rPr>
          <w:rFonts w:ascii="Times New Roman" w:eastAsia="Times New Roman CYR" w:hAnsi="Times New Roman" w:cs="Times New Roman"/>
          <w:b/>
          <w:bCs/>
          <w:lang w:eastAsia="ar-SA"/>
        </w:rPr>
      </w:pPr>
    </w:p>
    <w:p w:rsidR="00B00894" w:rsidRPr="003E2CE4" w:rsidRDefault="00B00894" w:rsidP="00B00894">
      <w:pPr>
        <w:pStyle w:val="aff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6C46D7">
        <w:rPr>
          <w:rFonts w:ascii="Times New Roman" w:hAnsi="Times New Roman" w:cs="Times New Roman"/>
          <w:sz w:val="28"/>
          <w:szCs w:val="28"/>
          <w:lang w:eastAsia="ar-SA"/>
        </w:rPr>
        <w:t>31.03.2026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6C46D7">
        <w:rPr>
          <w:rFonts w:ascii="Times New Roman" w:hAnsi="Times New Roman" w:cs="Times New Roman"/>
          <w:sz w:val="28"/>
          <w:szCs w:val="28"/>
          <w:lang w:eastAsia="ar-SA"/>
        </w:rPr>
        <w:t>200</w:t>
      </w:r>
      <w:r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 w:rsidR="006C46D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с. Темкино</w:t>
      </w:r>
      <w:r w:rsidRPr="003E2CE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</w:t>
      </w:r>
    </w:p>
    <w:p w:rsidR="00F35468" w:rsidRDefault="00F35468">
      <w:pPr>
        <w:jc w:val="center"/>
        <w:rPr>
          <w:color w:val="000080"/>
        </w:rPr>
      </w:pPr>
    </w:p>
    <w:p w:rsidR="00F35468" w:rsidRDefault="00F35468" w:rsidP="00B00894">
      <w:pPr>
        <w:rPr>
          <w:color w:val="000080"/>
        </w:rPr>
      </w:pPr>
    </w:p>
    <w:p w:rsidR="00F35468" w:rsidRDefault="00991345">
      <w:pPr>
        <w:tabs>
          <w:tab w:val="left" w:pos="3969"/>
        </w:tabs>
        <w:ind w:right="608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r w:rsidR="00B00894">
        <w:rPr>
          <w:sz w:val="28"/>
          <w:szCs w:val="28"/>
        </w:rPr>
        <w:t>Темкинский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35468" w:rsidRDefault="0099134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 xml:space="preserve">льства в Российской Федерации» в целях улучшения условий для развития малого и среднего </w:t>
      </w:r>
      <w:r>
        <w:rPr>
          <w:sz w:val="28"/>
          <w:szCs w:val="28"/>
        </w:rPr>
        <w:lastRenderedPageBreak/>
        <w:t>предпринимательства на территории муниципального образования «</w:t>
      </w:r>
      <w:r w:rsidR="00B00894">
        <w:rPr>
          <w:sz w:val="28"/>
          <w:szCs w:val="28"/>
        </w:rPr>
        <w:t>Темкинский муниципальный округ</w:t>
      </w:r>
      <w:r>
        <w:rPr>
          <w:sz w:val="28"/>
          <w:szCs w:val="28"/>
        </w:rPr>
        <w:t>» Смоленской области,</w:t>
      </w: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B00894" w:rsidRDefault="00B00894" w:rsidP="00B00894">
      <w:pPr>
        <w:pStyle w:val="aff5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F35468" w:rsidRDefault="009913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 Утвердить прилагаем</w:t>
      </w:r>
      <w:bookmarkEnd w:id="0"/>
      <w:r>
        <w:rPr>
          <w:sz w:val="28"/>
          <w:szCs w:val="28"/>
        </w:rPr>
        <w:t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B00894">
        <w:rPr>
          <w:sz w:val="28"/>
          <w:szCs w:val="28"/>
        </w:rPr>
        <w:t>Темкинский муниципальный округ</w:t>
      </w:r>
      <w:r>
        <w:rPr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1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B00894" w:rsidRDefault="00B00894" w:rsidP="00B00894">
      <w:pPr>
        <w:shd w:val="clear" w:color="auto" w:fill="FFFFFF"/>
        <w:spacing w:line="315" w:lineRule="atLeast"/>
        <w:ind w:right="-1" w:hanging="142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2.Настоящее постановление разместить на официальном сайте Администрации   муниципального   образования    «Темкинский   муниципальный округ» Смоленской области в информационно-телекоммуникационной сети «Интернет».</w:t>
      </w:r>
    </w:p>
    <w:p w:rsidR="00B00894" w:rsidRPr="00FB331D" w:rsidRDefault="00B00894" w:rsidP="00B00894">
      <w:pPr>
        <w:shd w:val="clear" w:color="auto" w:fill="FFFFFF"/>
        <w:spacing w:line="315" w:lineRule="atLeast"/>
        <w:ind w:right="-1"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  заместителя  Главы  муниципального образования «Темкинский муниципальный округ » Смоленской области  В.И.Волкова.</w:t>
      </w:r>
    </w:p>
    <w:p w:rsidR="00B00894" w:rsidRDefault="00B00894" w:rsidP="00B00894">
      <w:pPr>
        <w:pStyle w:val="aff5"/>
        <w:ind w:right="283"/>
        <w:rPr>
          <w:rFonts w:ascii="Times New Roman" w:hAnsi="Times New Roman" w:cs="Times New Roman"/>
          <w:sz w:val="28"/>
          <w:szCs w:val="28"/>
        </w:rPr>
      </w:pP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Look w:val="04A0"/>
      </w:tblPr>
      <w:tblGrid>
        <w:gridCol w:w="6943"/>
        <w:gridCol w:w="3472"/>
      </w:tblGrid>
      <w:tr w:rsidR="00F35468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F35468" w:rsidRDefault="00B00894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И.о. Главы</w:t>
            </w:r>
            <w:r w:rsidR="00991345">
              <w:rPr>
                <w:spacing w:val="2"/>
                <w:sz w:val="28"/>
                <w:szCs w:val="28"/>
              </w:rPr>
              <w:t xml:space="preserve"> муниципального образования</w:t>
            </w:r>
          </w:p>
          <w:p w:rsidR="00B00894" w:rsidRDefault="00991345" w:rsidP="00B0089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0894">
              <w:rPr>
                <w:sz w:val="28"/>
                <w:szCs w:val="28"/>
              </w:rPr>
              <w:t>Темкинский муниципальный округ</w:t>
            </w:r>
            <w:r>
              <w:rPr>
                <w:sz w:val="28"/>
                <w:szCs w:val="28"/>
              </w:rPr>
              <w:t>»</w:t>
            </w:r>
          </w:p>
          <w:p w:rsidR="00F35468" w:rsidRDefault="00991345" w:rsidP="00B00894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F35468" w:rsidRDefault="00B00894" w:rsidP="00B0089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Т.Г. Мельниченко</w:t>
            </w:r>
          </w:p>
        </w:tc>
      </w:tr>
    </w:tbl>
    <w:p w:rsidR="00F35468" w:rsidRDefault="00991345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2" w:name="sub_1000"/>
    </w:p>
    <w:p w:rsidR="009979ED" w:rsidRPr="001F77B7" w:rsidRDefault="009979ED" w:rsidP="009979ED">
      <w:pPr>
        <w:pStyle w:val="Heading1"/>
        <w:ind w:left="5954"/>
        <w:rPr>
          <w:b w:val="0"/>
        </w:rPr>
      </w:pPr>
      <w:r w:rsidRPr="001F77B7">
        <w:rPr>
          <w:b w:val="0"/>
        </w:rPr>
        <w:lastRenderedPageBreak/>
        <w:t>УТВЕРЖДЕН</w:t>
      </w:r>
      <w:r>
        <w:rPr>
          <w:b w:val="0"/>
        </w:rPr>
        <w:t>О</w:t>
      </w:r>
    </w:p>
    <w:p w:rsidR="009979ED" w:rsidRDefault="009979ED" w:rsidP="009979ED">
      <w:pPr>
        <w:pStyle w:val="aff6"/>
        <w:ind w:left="5954" w:right="102" w:firstLine="0"/>
        <w:jc w:val="left"/>
        <w:rPr>
          <w:spacing w:val="-67"/>
        </w:rPr>
      </w:pP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67"/>
        </w:rPr>
        <w:t xml:space="preserve"> </w:t>
      </w:r>
    </w:p>
    <w:p w:rsidR="009979ED" w:rsidRDefault="009979ED" w:rsidP="009979ED">
      <w:pPr>
        <w:pStyle w:val="aff6"/>
        <w:ind w:left="5954" w:right="102" w:firstLine="0"/>
        <w:jc w:val="left"/>
        <w:rPr>
          <w:spacing w:val="1"/>
        </w:rPr>
      </w:pP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</w:p>
    <w:p w:rsidR="009979ED" w:rsidRPr="006E3EE6" w:rsidRDefault="009979ED" w:rsidP="009979ED">
      <w:pPr>
        <w:pStyle w:val="aff6"/>
        <w:ind w:left="5954" w:right="102" w:firstLine="0"/>
        <w:jc w:val="left"/>
        <w:rPr>
          <w:spacing w:val="1"/>
        </w:rPr>
      </w:pPr>
      <w:r>
        <w:rPr>
          <w:spacing w:val="1"/>
        </w:rPr>
        <w:t xml:space="preserve">«Темкинский </w:t>
      </w:r>
      <w:r>
        <w:t>муниципальный округ»</w:t>
      </w:r>
      <w:r>
        <w:rPr>
          <w:spacing w:val="1"/>
        </w:rPr>
        <w:t xml:space="preserve"> </w:t>
      </w:r>
      <w:r>
        <w:t>Смоленской</w:t>
      </w:r>
      <w:r>
        <w:rPr>
          <w:spacing w:val="1"/>
        </w:rPr>
        <w:t xml:space="preserve">  </w:t>
      </w:r>
      <w:r>
        <w:t>области</w:t>
      </w:r>
      <w:r>
        <w:rPr>
          <w:spacing w:val="50"/>
        </w:rPr>
        <w:t xml:space="preserve"> </w:t>
      </w:r>
    </w:p>
    <w:p w:rsidR="009979ED" w:rsidRPr="008D42FB" w:rsidRDefault="009979ED" w:rsidP="009979ED">
      <w:pPr>
        <w:pStyle w:val="aff6"/>
        <w:ind w:left="5954" w:right="-60" w:firstLine="0"/>
        <w:jc w:val="left"/>
      </w:pPr>
      <w:r>
        <w:t>от _______________№ ______</w:t>
      </w:r>
    </w:p>
    <w:p w:rsidR="00F35468" w:rsidRDefault="00F35468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4"/>
        </w:rPr>
      </w:pPr>
    </w:p>
    <w:bookmarkEnd w:id="2"/>
    <w:p w:rsidR="00F35468" w:rsidRDefault="00F35468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:rsidR="00F35468" w:rsidRDefault="00991345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F35468" w:rsidRDefault="00991345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:rsidR="00F35468" w:rsidRDefault="00991345" w:rsidP="00AE11CD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</w:t>
      </w:r>
      <w:r w:rsidR="00A343B9">
        <w:rPr>
          <w:rFonts w:cs="Arial"/>
          <w:b/>
          <w:sz w:val="28"/>
          <w:szCs w:val="28"/>
        </w:rPr>
        <w:t xml:space="preserve">Темкинский </w:t>
      </w:r>
      <w:r w:rsidR="009979ED">
        <w:rPr>
          <w:rFonts w:cs="Arial"/>
          <w:b/>
          <w:sz w:val="28"/>
          <w:szCs w:val="28"/>
        </w:rPr>
        <w:t>муниципальный округ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:rsidR="00F35468" w:rsidRDefault="00F3546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 w:rsidR="009979ED" w:rsidRPr="009979ED">
        <w:rPr>
          <w:sz w:val="28"/>
          <w:szCs w:val="28"/>
        </w:rPr>
        <w:t>Темкинский муниципальный округ</w:t>
      </w:r>
      <w:r>
        <w:rPr>
          <w:sz w:val="28"/>
          <w:szCs w:val="28"/>
        </w:rPr>
        <w:t xml:space="preserve">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="009979ED" w:rsidRPr="009979ED">
        <w:rPr>
          <w:rFonts w:eastAsia="Calibri"/>
          <w:sz w:val="28"/>
          <w:szCs w:val="28"/>
        </w:rPr>
        <w:t>Темкинский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</w:t>
      </w:r>
      <w:r>
        <w:rPr>
          <w:rFonts w:eastAsia="Calibri"/>
          <w:sz w:val="28"/>
          <w:szCs w:val="28"/>
        </w:rPr>
        <w:lastRenderedPageBreak/>
        <w:t xml:space="preserve">26.07.2006 № 135-ФЗ «О защите конкуренции», </w:t>
      </w:r>
      <w:bookmarkStart w:id="3" w:name="_GoBack"/>
      <w:bookmarkEnd w:id="3"/>
      <w:r>
        <w:rPr>
          <w:sz w:val="28"/>
          <w:szCs w:val="28"/>
        </w:rPr>
        <w:t>иных нормативных правовых актов Администрации муниципального образования «</w:t>
      </w:r>
      <w:r w:rsidR="009979ED" w:rsidRPr="009979ED">
        <w:rPr>
          <w:sz w:val="28"/>
          <w:szCs w:val="28"/>
        </w:rPr>
        <w:t>Темкинский муниципальный округ</w:t>
      </w:r>
      <w:r>
        <w:rPr>
          <w:sz w:val="28"/>
          <w:szCs w:val="28"/>
        </w:rPr>
        <w:t>» Смоленской области.</w:t>
      </w: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:rsidR="00F35468" w:rsidRDefault="009913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="009979ED" w:rsidRPr="009979ED">
        <w:rPr>
          <w:color w:val="000000"/>
          <w:sz w:val="28"/>
          <w:szCs w:val="28"/>
          <w:lang w:bidi="ru-RU"/>
        </w:rPr>
        <w:t>Темкинский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области.</w:t>
      </w:r>
    </w:p>
    <w:p w:rsidR="00F35468" w:rsidRDefault="00991345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="009979ED" w:rsidRPr="009979ED">
        <w:rPr>
          <w:color w:val="000000"/>
          <w:sz w:val="28"/>
          <w:szCs w:val="28"/>
          <w:lang w:bidi="ru-RU"/>
        </w:rPr>
        <w:t>Темкинский муниципальный округ</w:t>
      </w:r>
      <w:r>
        <w:rPr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="009979ED" w:rsidRPr="009979ED">
        <w:rPr>
          <w:color w:val="000000"/>
          <w:sz w:val="28"/>
          <w:szCs w:val="28"/>
          <w:lang w:bidi="ru-RU"/>
        </w:rPr>
        <w:t>Темкинский муниципальный округ</w:t>
      </w:r>
      <w:r>
        <w:rPr>
          <w:color w:val="000000"/>
          <w:sz w:val="28"/>
          <w:szCs w:val="28"/>
          <w:lang w:bidi="ru-RU"/>
        </w:rPr>
        <w:t xml:space="preserve">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:rsidR="00C86DC3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8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="00C86DC3">
        <w:rPr>
          <w:color w:val="000000"/>
          <w:sz w:val="28"/>
          <w:szCs w:val="28"/>
          <w:lang w:bidi="ru-RU"/>
        </w:rPr>
        <w:t>.</w:t>
      </w:r>
    </w:p>
    <w:p w:rsidR="00F35468" w:rsidRDefault="00C86DC3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D61607">
        <w:rPr>
          <w:color w:val="000000"/>
          <w:sz w:val="28"/>
          <w:szCs w:val="28"/>
          <w:lang w:bidi="ru-RU"/>
        </w:rPr>
        <w:t>Поряд</w:t>
      </w:r>
      <w:r w:rsidR="00503952" w:rsidRPr="00D61607">
        <w:rPr>
          <w:color w:val="000000"/>
          <w:sz w:val="28"/>
          <w:szCs w:val="28"/>
          <w:lang w:bidi="ru-RU"/>
        </w:rPr>
        <w:t>о</w:t>
      </w:r>
      <w:r w:rsidRPr="00D61607">
        <w:rPr>
          <w:color w:val="000000"/>
          <w:sz w:val="28"/>
          <w:szCs w:val="28"/>
          <w:lang w:bidi="ru-RU"/>
        </w:rPr>
        <w:t>к</w:t>
      </w:r>
      <w:r w:rsidR="00805697" w:rsidRPr="00D61607">
        <w:rPr>
          <w:color w:val="000000"/>
          <w:sz w:val="28"/>
          <w:szCs w:val="28"/>
          <w:lang w:bidi="ru-RU"/>
        </w:rPr>
        <w:t xml:space="preserve">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824FD1">
        <w:rPr>
          <w:color w:val="000000"/>
          <w:sz w:val="28"/>
          <w:szCs w:val="28"/>
          <w:lang w:bidi="ru-RU"/>
        </w:rPr>
        <w:t>предусмотрен нормативн</w:t>
      </w:r>
      <w:r w:rsidR="00E11325">
        <w:rPr>
          <w:color w:val="000000"/>
          <w:sz w:val="28"/>
          <w:szCs w:val="28"/>
          <w:lang w:bidi="ru-RU"/>
        </w:rPr>
        <w:t>ым</w:t>
      </w:r>
      <w:r w:rsidR="00824FD1">
        <w:rPr>
          <w:color w:val="000000"/>
          <w:sz w:val="28"/>
          <w:szCs w:val="28"/>
          <w:lang w:bidi="ru-RU"/>
        </w:rPr>
        <w:t xml:space="preserve"> правовым актом </w:t>
      </w:r>
      <w:r w:rsidR="00E11325" w:rsidRPr="00E11325">
        <w:rPr>
          <w:color w:val="000000"/>
          <w:sz w:val="28"/>
          <w:szCs w:val="28"/>
          <w:lang w:bidi="ru-RU"/>
        </w:rPr>
        <w:t>Администраци</w:t>
      </w:r>
      <w:r w:rsidR="00991345">
        <w:rPr>
          <w:color w:val="000000"/>
          <w:sz w:val="28"/>
          <w:szCs w:val="28"/>
          <w:lang w:bidi="ru-RU"/>
        </w:rPr>
        <w:t>и</w:t>
      </w:r>
      <w:r w:rsidR="00E11325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E11325">
        <w:rPr>
          <w:color w:val="000000"/>
          <w:sz w:val="28"/>
          <w:szCs w:val="28"/>
          <w:lang w:bidi="ru-RU"/>
        </w:rPr>
        <w:t>.</w:t>
      </w:r>
    </w:p>
    <w:p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F35468" w:rsidRDefault="00991345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:rsidR="00F35468" w:rsidRDefault="00991345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F35468" w:rsidRDefault="00991345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F35468" w:rsidRDefault="0099134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:rsidR="00F35468" w:rsidRDefault="00991345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 w:rsidR="009979E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</w:p>
    <w:p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>.</w:t>
      </w:r>
    </w:p>
    <w:p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F35468" w:rsidRDefault="00991345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sectPr w:rsidR="00F35468" w:rsidSect="00C65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0" w:h="16800"/>
      <w:pgMar w:top="567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4E7" w:rsidRDefault="008074E7">
      <w:r>
        <w:separator/>
      </w:r>
    </w:p>
  </w:endnote>
  <w:endnote w:type="continuationSeparator" w:id="1">
    <w:p w:rsidR="008074E7" w:rsidRDefault="00807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68" w:rsidRDefault="00F3546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68" w:rsidRDefault="00F35468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68" w:rsidRDefault="00F3546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4E7" w:rsidRDefault="008074E7">
      <w:r>
        <w:separator/>
      </w:r>
    </w:p>
  </w:footnote>
  <w:footnote w:type="continuationSeparator" w:id="1">
    <w:p w:rsidR="008074E7" w:rsidRDefault="00807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68" w:rsidRDefault="00F3546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312344"/>
    </w:sdtPr>
    <w:sdtContent>
      <w:p w:rsidR="00F35468" w:rsidRDefault="00554C6E">
        <w:pPr>
          <w:pStyle w:val="af2"/>
          <w:jc w:val="center"/>
        </w:pPr>
        <w:r>
          <w:fldChar w:fldCharType="begin"/>
        </w:r>
        <w:r w:rsidR="00991345">
          <w:instrText>PAGE   \* MERGEFORMAT</w:instrText>
        </w:r>
        <w:r>
          <w:fldChar w:fldCharType="separate"/>
        </w:r>
        <w:r w:rsidR="006C46D7">
          <w:rPr>
            <w:noProof/>
          </w:rPr>
          <w:t>5</w:t>
        </w:r>
        <w:r>
          <w:fldChar w:fldCharType="end"/>
        </w:r>
      </w:p>
    </w:sdtContent>
  </w:sdt>
  <w:p w:rsidR="00F35468" w:rsidRDefault="00F35468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468" w:rsidRDefault="00F35468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numFmt w:val="chicago"/>
    <w:footnote w:id="0"/>
    <w:footnote w:id="1"/>
  </w:footnotePr>
  <w:endnotePr>
    <w:endnote w:id="0"/>
    <w:endnote w:id="1"/>
  </w:endnotePr>
  <w:compat/>
  <w:rsids>
    <w:rsidRoot w:val="00D33ECE"/>
    <w:rsid w:val="000056CE"/>
    <w:rsid w:val="000239BD"/>
    <w:rsid w:val="000256D4"/>
    <w:rsid w:val="00025CFE"/>
    <w:rsid w:val="000265EA"/>
    <w:rsid w:val="0003292D"/>
    <w:rsid w:val="00040B90"/>
    <w:rsid w:val="00041037"/>
    <w:rsid w:val="00045194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3A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7BEA"/>
    <w:rsid w:val="00446562"/>
    <w:rsid w:val="00447E8B"/>
    <w:rsid w:val="00450096"/>
    <w:rsid w:val="00451DE5"/>
    <w:rsid w:val="004559CD"/>
    <w:rsid w:val="00463169"/>
    <w:rsid w:val="00466DF7"/>
    <w:rsid w:val="00485928"/>
    <w:rsid w:val="00491DA2"/>
    <w:rsid w:val="004978A9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54C6E"/>
    <w:rsid w:val="00562761"/>
    <w:rsid w:val="005715DB"/>
    <w:rsid w:val="00576435"/>
    <w:rsid w:val="00580360"/>
    <w:rsid w:val="005804AC"/>
    <w:rsid w:val="005859A9"/>
    <w:rsid w:val="00595F9B"/>
    <w:rsid w:val="005A1AB0"/>
    <w:rsid w:val="005A4C74"/>
    <w:rsid w:val="005B5AA9"/>
    <w:rsid w:val="005D2740"/>
    <w:rsid w:val="005D384F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62B2"/>
    <w:rsid w:val="00655758"/>
    <w:rsid w:val="006559B5"/>
    <w:rsid w:val="00667EEF"/>
    <w:rsid w:val="00671344"/>
    <w:rsid w:val="00671498"/>
    <w:rsid w:val="00673FD3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B7EA1"/>
    <w:rsid w:val="006C1907"/>
    <w:rsid w:val="006C2BC6"/>
    <w:rsid w:val="006C46D7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4E7"/>
    <w:rsid w:val="00807F47"/>
    <w:rsid w:val="0081444E"/>
    <w:rsid w:val="00816F6D"/>
    <w:rsid w:val="00824FD1"/>
    <w:rsid w:val="00825212"/>
    <w:rsid w:val="00827E0F"/>
    <w:rsid w:val="00830035"/>
    <w:rsid w:val="0083014B"/>
    <w:rsid w:val="00832522"/>
    <w:rsid w:val="00855B72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6FD6"/>
    <w:rsid w:val="008F0560"/>
    <w:rsid w:val="008F278F"/>
    <w:rsid w:val="0090379F"/>
    <w:rsid w:val="00904D8D"/>
    <w:rsid w:val="00907F96"/>
    <w:rsid w:val="00916D3D"/>
    <w:rsid w:val="00920502"/>
    <w:rsid w:val="00920608"/>
    <w:rsid w:val="00920C40"/>
    <w:rsid w:val="00930E2D"/>
    <w:rsid w:val="009334D3"/>
    <w:rsid w:val="0095156E"/>
    <w:rsid w:val="00951AC6"/>
    <w:rsid w:val="009523CA"/>
    <w:rsid w:val="00963903"/>
    <w:rsid w:val="00967452"/>
    <w:rsid w:val="00967AD3"/>
    <w:rsid w:val="00971A23"/>
    <w:rsid w:val="00974FF3"/>
    <w:rsid w:val="00975F1B"/>
    <w:rsid w:val="0097795D"/>
    <w:rsid w:val="00991345"/>
    <w:rsid w:val="009979ED"/>
    <w:rsid w:val="009A7234"/>
    <w:rsid w:val="009B1100"/>
    <w:rsid w:val="009B7A33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343B9"/>
    <w:rsid w:val="00A40972"/>
    <w:rsid w:val="00A43EFD"/>
    <w:rsid w:val="00A56C88"/>
    <w:rsid w:val="00A57C89"/>
    <w:rsid w:val="00A57F9B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894"/>
    <w:rsid w:val="00B00C03"/>
    <w:rsid w:val="00B06BE5"/>
    <w:rsid w:val="00B14305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5D6F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582F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CF3B9E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2937"/>
    <w:rsid w:val="00D92E2F"/>
    <w:rsid w:val="00DA0BBE"/>
    <w:rsid w:val="00DA0DF7"/>
    <w:rsid w:val="00DA1D75"/>
    <w:rsid w:val="00DA57A0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2B34"/>
    <w:rsid w:val="00E11325"/>
    <w:rsid w:val="00E15330"/>
    <w:rsid w:val="00E2069A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nhideWhenUsed="0" w:qFormat="1"/>
    <w:lsdException w:name="annotation reference" w:qFormat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2F"/>
  </w:style>
  <w:style w:type="paragraph" w:styleId="1">
    <w:name w:val="heading 1"/>
    <w:basedOn w:val="a"/>
    <w:next w:val="a"/>
    <w:link w:val="10"/>
    <w:uiPriority w:val="99"/>
    <w:qFormat/>
    <w:rsid w:val="00C658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6582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sid w:val="00C6582F"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C6582F"/>
    <w:rPr>
      <w:sz w:val="16"/>
      <w:szCs w:val="16"/>
    </w:rPr>
  </w:style>
  <w:style w:type="character" w:styleId="a5">
    <w:name w:val="endnote reference"/>
    <w:basedOn w:val="a0"/>
    <w:uiPriority w:val="99"/>
    <w:qFormat/>
    <w:rsid w:val="00C6582F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sid w:val="00C6582F"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  <w:rsid w:val="00C6582F"/>
  </w:style>
  <w:style w:type="paragraph" w:styleId="a8">
    <w:name w:val="Balloon Text"/>
    <w:basedOn w:val="a"/>
    <w:link w:val="a9"/>
    <w:uiPriority w:val="99"/>
    <w:semiHidden/>
    <w:unhideWhenUsed/>
    <w:qFormat/>
    <w:rsid w:val="00C6582F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rsid w:val="00C6582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rsid w:val="00C6582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C6582F"/>
    <w:rPr>
      <w:b/>
      <w:bCs/>
    </w:rPr>
  </w:style>
  <w:style w:type="paragraph" w:styleId="af0">
    <w:name w:val="footnote text"/>
    <w:basedOn w:val="a"/>
    <w:link w:val="af1"/>
    <w:uiPriority w:val="99"/>
    <w:qFormat/>
    <w:rsid w:val="00C6582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rsid w:val="00C6582F"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rsid w:val="00C6582F"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rsid w:val="00C6582F"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rsid w:val="00C65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qFormat/>
    <w:rsid w:val="00C658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C6582F"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sid w:val="00C6582F"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C658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C65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sid w:val="00C6582F"/>
    <w:rPr>
      <w:b/>
      <w:color w:val="26282F"/>
    </w:rPr>
  </w:style>
  <w:style w:type="character" w:customStyle="1" w:styleId="afa">
    <w:name w:val="Гипертекстовая ссылка"/>
    <w:uiPriority w:val="99"/>
    <w:qFormat/>
    <w:rsid w:val="00C6582F"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rsid w:val="00C6582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rsid w:val="00C6582F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sid w:val="00C6582F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rsid w:val="00C6582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rsid w:val="00C6582F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rsid w:val="00C6582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rsid w:val="00C658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sid w:val="00C6582F"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rsid w:val="00C6582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sid w:val="00C6582F"/>
    <w:rPr>
      <w:rFonts w:ascii="Times New Roman CYR" w:hAnsi="Times New Roman CYR"/>
    </w:rPr>
  </w:style>
  <w:style w:type="paragraph" w:customStyle="1" w:styleId="ConsPlusNormal">
    <w:name w:val="ConsPlusNormal"/>
    <w:qFormat/>
    <w:rsid w:val="00C658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rsid w:val="00C6582F"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qFormat/>
    <w:rsid w:val="00C658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sid w:val="00C6582F"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rsid w:val="00C658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sid w:val="00C6582F"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C6582F"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C6582F"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rsid w:val="00C6582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sid w:val="00C6582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Знак1"/>
    <w:basedOn w:val="a0"/>
    <w:uiPriority w:val="10"/>
    <w:qFormat/>
    <w:rsid w:val="00C6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6">
    <w:name w:val="Body Text"/>
    <w:basedOn w:val="a"/>
    <w:link w:val="aff7"/>
    <w:uiPriority w:val="1"/>
    <w:qFormat/>
    <w:rsid w:val="009979ED"/>
    <w:pPr>
      <w:widowControl w:val="0"/>
      <w:autoSpaceDE w:val="0"/>
      <w:autoSpaceDN w:val="0"/>
      <w:ind w:left="112" w:firstLine="540"/>
      <w:jc w:val="both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uiPriority w:val="1"/>
    <w:rsid w:val="009979ED"/>
    <w:rPr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979ED"/>
    <w:pPr>
      <w:widowControl w:val="0"/>
      <w:autoSpaceDE w:val="0"/>
      <w:autoSpaceDN w:val="0"/>
      <w:ind w:left="133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&amp;dst=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8E54B-E9D4-4DC3-96BD-4FF52696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Avramenko_TA</dc:creator>
  <cp:lastModifiedBy>User</cp:lastModifiedBy>
  <cp:revision>46</cp:revision>
  <cp:lastPrinted>2026-03-31T07:51:00Z</cp:lastPrinted>
  <dcterms:created xsi:type="dcterms:W3CDTF">2026-03-02T09:31:00Z</dcterms:created>
  <dcterms:modified xsi:type="dcterms:W3CDTF">2026-03-31T09:21:00Z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